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25E2" w14:textId="0B22469F" w:rsidR="00884275" w:rsidRDefault="00884275">
      <w:pPr>
        <w:rPr>
          <w:rFonts w:ascii="Arial" w:hAnsi="Arial" w:cs="Arial"/>
          <w:b/>
          <w:sz w:val="28"/>
          <w:szCs w:val="22"/>
          <w:lang w:val="en-US"/>
        </w:rPr>
      </w:pPr>
    </w:p>
    <w:p w14:paraId="52F52EAC" w14:textId="104A380E" w:rsidR="00884275" w:rsidRPr="000F028F" w:rsidRDefault="001633D8" w:rsidP="00884275">
      <w:pPr>
        <w:tabs>
          <w:tab w:val="left" w:pos="5408"/>
        </w:tabs>
        <w:ind w:right="-1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b/>
          <w:sz w:val="28"/>
          <w:szCs w:val="22"/>
          <w:lang w:val="en-US"/>
        </w:rPr>
        <w:t>Timeline of e</w:t>
      </w:r>
      <w:r w:rsidR="000F028F" w:rsidRPr="000F028F">
        <w:rPr>
          <w:rFonts w:ascii="Arial" w:hAnsi="Arial" w:cs="Arial"/>
          <w:b/>
          <w:sz w:val="28"/>
          <w:szCs w:val="22"/>
          <w:lang w:val="en-US"/>
        </w:rPr>
        <w:t xml:space="preserve">conomic sanctions against </w:t>
      </w:r>
      <w:r w:rsidR="0051284E" w:rsidRPr="000F028F">
        <w:rPr>
          <w:rFonts w:ascii="Arial" w:hAnsi="Arial" w:cs="Arial"/>
          <w:b/>
          <w:sz w:val="28"/>
          <w:szCs w:val="22"/>
          <w:lang w:val="en-US"/>
        </w:rPr>
        <w:t>Russia</w:t>
      </w:r>
    </w:p>
    <w:p w14:paraId="4303DBFF" w14:textId="77777777" w:rsidR="00884275" w:rsidRDefault="00884275" w:rsidP="0051284E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2126"/>
        <w:gridCol w:w="2126"/>
        <w:gridCol w:w="3402"/>
      </w:tblGrid>
      <w:tr w:rsidR="00E42659" w14:paraId="258869A0" w14:textId="77777777" w:rsidTr="00F7757D">
        <w:trPr>
          <w:trHeight w:val="434"/>
        </w:trPr>
        <w:tc>
          <w:tcPr>
            <w:tcW w:w="6380" w:type="dxa"/>
            <w:shd w:val="clear" w:color="auto" w:fill="1F497D" w:themeFill="text2"/>
            <w:vAlign w:val="center"/>
          </w:tcPr>
          <w:p w14:paraId="08C4BAEC" w14:textId="6C2B15A3" w:rsidR="00E42659" w:rsidRPr="00812D62" w:rsidRDefault="00BD3B68" w:rsidP="000F028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Type of s</w:t>
            </w:r>
            <w:r w:rsidR="00E42659" w:rsidRPr="00812D62"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anctions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20122FBD" w14:textId="001E4D2A" w:rsidR="00E42659" w:rsidRPr="00812D62" w:rsidRDefault="00E42659" w:rsidP="000F028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 w:rsidRPr="00812D62"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Country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7E43B81D" w14:textId="3DEF4AB7" w:rsidR="00E42659" w:rsidRPr="00812D62" w:rsidRDefault="00E42659" w:rsidP="000F028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 w:rsidRPr="00812D62"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Adoption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06FB1C36" w14:textId="77777777" w:rsidR="00E42659" w:rsidRPr="00812D62" w:rsidRDefault="00E42659" w:rsidP="000F028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 w:rsidRPr="00812D62"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Entry into force</w:t>
            </w:r>
          </w:p>
        </w:tc>
        <w:tc>
          <w:tcPr>
            <w:tcW w:w="3402" w:type="dxa"/>
            <w:shd w:val="clear" w:color="auto" w:fill="1F497D" w:themeFill="text2"/>
            <w:vAlign w:val="center"/>
          </w:tcPr>
          <w:p w14:paraId="4AB1E419" w14:textId="759CEA2A" w:rsidR="00E42659" w:rsidRPr="00812D62" w:rsidRDefault="00E42659" w:rsidP="000F028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Retaliatory measures</w:t>
            </w:r>
          </w:p>
        </w:tc>
      </w:tr>
      <w:tr w:rsidR="008330C5" w14:paraId="6A35FEB2" w14:textId="77777777" w:rsidTr="00F7757D">
        <w:tc>
          <w:tcPr>
            <w:tcW w:w="6380" w:type="dxa"/>
          </w:tcPr>
          <w:p w14:paraId="42B9043F" w14:textId="279E073E" w:rsidR="008330C5" w:rsidRDefault="008330C5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Visa bans and asset freezes against not-yet-specified individuals considered responsible for the political destabilization of Ukraine</w:t>
            </w:r>
          </w:p>
        </w:tc>
        <w:tc>
          <w:tcPr>
            <w:tcW w:w="1134" w:type="dxa"/>
          </w:tcPr>
          <w:p w14:paraId="4EE4B6A2" w14:textId="53392EB1" w:rsidR="008330C5" w:rsidRPr="00BC5498" w:rsidRDefault="008330C5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2126" w:type="dxa"/>
          </w:tcPr>
          <w:p w14:paraId="373F4536" w14:textId="2982C903" w:rsidR="008330C5" w:rsidRDefault="008330C5" w:rsidP="00F1145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 March 2014</w:t>
            </w:r>
          </w:p>
        </w:tc>
        <w:tc>
          <w:tcPr>
            <w:tcW w:w="2126" w:type="dxa"/>
          </w:tcPr>
          <w:p w14:paraId="114EF2B9" w14:textId="66AEF449" w:rsidR="008330C5" w:rsidRPr="00AC3EC1" w:rsidRDefault="008330C5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10 March 2014</w:t>
            </w:r>
          </w:p>
        </w:tc>
        <w:tc>
          <w:tcPr>
            <w:tcW w:w="3402" w:type="dxa"/>
          </w:tcPr>
          <w:p w14:paraId="1CC26F56" w14:textId="77777777" w:rsidR="008330C5" w:rsidRPr="00F1145B" w:rsidRDefault="008330C5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42659" w14:paraId="1F45FE76" w14:textId="77777777" w:rsidTr="00F7757D">
        <w:tc>
          <w:tcPr>
            <w:tcW w:w="6380" w:type="dxa"/>
          </w:tcPr>
          <w:p w14:paraId="7D48F118" w14:textId="5CFAE626" w:rsidR="00E42659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Visa bans and asset freezes against 21 persons</w:t>
            </w:r>
            <w:r w:rsidR="008330C5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considered responsible for the political destabilization of Ukraine (extended to more individuals and entities from 2014 to 2018)</w:t>
            </w:r>
          </w:p>
        </w:tc>
        <w:tc>
          <w:tcPr>
            <w:tcW w:w="1134" w:type="dxa"/>
          </w:tcPr>
          <w:p w14:paraId="4043B26F" w14:textId="64A38B3A" w:rsidR="00E42659" w:rsidRPr="00BC5498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BC5498">
              <w:rPr>
                <w:rFonts w:ascii="Arial" w:hAnsi="Arial" w:cs="Arial"/>
                <w:szCs w:val="22"/>
                <w:lang w:val="en-US"/>
              </w:rPr>
              <w:t>EU + US</w:t>
            </w:r>
          </w:p>
        </w:tc>
        <w:tc>
          <w:tcPr>
            <w:tcW w:w="2126" w:type="dxa"/>
          </w:tcPr>
          <w:p w14:paraId="72561AFB" w14:textId="6CDED13B" w:rsidR="00E42659" w:rsidRDefault="00E42659" w:rsidP="00F1145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17 March 2014</w:t>
            </w:r>
          </w:p>
        </w:tc>
        <w:tc>
          <w:tcPr>
            <w:tcW w:w="2126" w:type="dxa"/>
          </w:tcPr>
          <w:p w14:paraId="6C55F35C" w14:textId="5926D75D" w:rsidR="00E42659" w:rsidRPr="00AC3EC1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AC3EC1">
              <w:rPr>
                <w:rFonts w:ascii="Arial" w:hAnsi="Arial" w:cs="Arial"/>
                <w:szCs w:val="22"/>
                <w:lang w:val="en-US"/>
              </w:rPr>
              <w:t>17 March 2014</w:t>
            </w:r>
          </w:p>
        </w:tc>
        <w:tc>
          <w:tcPr>
            <w:tcW w:w="3402" w:type="dxa"/>
          </w:tcPr>
          <w:p w14:paraId="3DC3E571" w14:textId="1586172E" w:rsidR="00E42659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42659" w14:paraId="6C177901" w14:textId="77777777" w:rsidTr="00F7757D">
        <w:tc>
          <w:tcPr>
            <w:tcW w:w="6380" w:type="dxa"/>
          </w:tcPr>
          <w:p w14:paraId="5B3FC99C" w14:textId="2C36BACB" w:rsidR="00E42659" w:rsidRDefault="008330C5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Ban on business transactions within the US territory targeted to 7 Russian officials and </w:t>
            </w:r>
            <w:r w:rsidR="00E269BB">
              <w:rPr>
                <w:rFonts w:ascii="Arial" w:hAnsi="Arial" w:cs="Arial"/>
                <w:szCs w:val="22"/>
                <w:lang w:val="en-US"/>
              </w:rPr>
              <w:t>17 companies</w:t>
            </w:r>
          </w:p>
        </w:tc>
        <w:tc>
          <w:tcPr>
            <w:tcW w:w="1134" w:type="dxa"/>
          </w:tcPr>
          <w:p w14:paraId="10D3812D" w14:textId="756DAFD0" w:rsidR="00E42659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2126" w:type="dxa"/>
          </w:tcPr>
          <w:p w14:paraId="39265038" w14:textId="2B636486" w:rsidR="00E42659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28 April 2014</w:t>
            </w:r>
          </w:p>
        </w:tc>
        <w:tc>
          <w:tcPr>
            <w:tcW w:w="2126" w:type="dxa"/>
            <w:shd w:val="clear" w:color="auto" w:fill="auto"/>
          </w:tcPr>
          <w:p w14:paraId="0DE0596D" w14:textId="57CBDCC8" w:rsidR="00E42659" w:rsidRDefault="00E269BB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28 April 2014</w:t>
            </w:r>
          </w:p>
        </w:tc>
        <w:tc>
          <w:tcPr>
            <w:tcW w:w="3402" w:type="dxa"/>
          </w:tcPr>
          <w:p w14:paraId="31FDAE60" w14:textId="77777777" w:rsidR="00E42659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42659" w14:paraId="281626D1" w14:textId="77777777" w:rsidTr="00F7757D">
        <w:tc>
          <w:tcPr>
            <w:tcW w:w="6380" w:type="dxa"/>
          </w:tcPr>
          <w:p w14:paraId="198309A4" w14:textId="137C1801" w:rsidR="00E42659" w:rsidRDefault="00E42659" w:rsidP="00F8466D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Import ban on goods from Crimea and Sevastopol</w:t>
            </w:r>
            <w:r w:rsidR="00DC15B9">
              <w:rPr>
                <w:rFonts w:ascii="Arial" w:hAnsi="Arial" w:cs="Arial"/>
                <w:szCs w:val="22"/>
                <w:lang w:val="en-US"/>
              </w:rPr>
              <w:t xml:space="preserve">, unless accompanied by a Ukrainian </w:t>
            </w:r>
            <w:r w:rsidR="00DC15B9" w:rsidRPr="00DC15B9">
              <w:rPr>
                <w:rFonts w:ascii="Arial" w:hAnsi="Arial" w:cs="Arial"/>
                <w:szCs w:val="22"/>
                <w:lang w:val="en-US"/>
              </w:rPr>
              <w:t>certificate of preferential origin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+ prohibition </w:t>
            </w:r>
            <w:r w:rsidRPr="00F8466D">
              <w:rPr>
                <w:rFonts w:ascii="Arial" w:hAnsi="Arial" w:cs="Arial"/>
                <w:szCs w:val="22"/>
                <w:lang w:val="en-US"/>
              </w:rPr>
              <w:t>to provide financial and insurance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F8466D">
              <w:rPr>
                <w:rFonts w:ascii="Arial" w:hAnsi="Arial" w:cs="Arial"/>
                <w:szCs w:val="22"/>
                <w:lang w:val="en-US"/>
              </w:rPr>
              <w:t>services related to the import of such goods</w:t>
            </w:r>
          </w:p>
        </w:tc>
        <w:tc>
          <w:tcPr>
            <w:tcW w:w="1134" w:type="dxa"/>
          </w:tcPr>
          <w:p w14:paraId="531594E5" w14:textId="3F40A8F4" w:rsidR="00E42659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</w:t>
            </w:r>
          </w:p>
        </w:tc>
        <w:tc>
          <w:tcPr>
            <w:tcW w:w="2126" w:type="dxa"/>
          </w:tcPr>
          <w:p w14:paraId="7DFDF77E" w14:textId="056EF6DC" w:rsidR="00E42659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23 June 2014</w:t>
            </w:r>
          </w:p>
        </w:tc>
        <w:tc>
          <w:tcPr>
            <w:tcW w:w="2126" w:type="dxa"/>
            <w:shd w:val="clear" w:color="auto" w:fill="auto"/>
          </w:tcPr>
          <w:p w14:paraId="130CA8F8" w14:textId="334D8AC8" w:rsidR="00E42659" w:rsidRPr="000F028F" w:rsidRDefault="000F028F" w:rsidP="000F028F">
            <w:pPr>
              <w:tabs>
                <w:tab w:val="left" w:pos="5408"/>
              </w:tabs>
              <w:ind w:right="-1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25 June 2014</w:t>
            </w:r>
          </w:p>
        </w:tc>
        <w:tc>
          <w:tcPr>
            <w:tcW w:w="3402" w:type="dxa"/>
          </w:tcPr>
          <w:p w14:paraId="072B6D8B" w14:textId="77777777" w:rsidR="00E42659" w:rsidRDefault="00E42659" w:rsidP="00812D6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269BB" w14:paraId="7B1BA080" w14:textId="77777777" w:rsidTr="00F7757D">
        <w:tc>
          <w:tcPr>
            <w:tcW w:w="6380" w:type="dxa"/>
          </w:tcPr>
          <w:p w14:paraId="25BAA7CB" w14:textId="3E4B2C21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Extension of the ban on business transactions within the US territory to 2 major Russian energy companies and 2 major Russian banks</w:t>
            </w:r>
          </w:p>
        </w:tc>
        <w:tc>
          <w:tcPr>
            <w:tcW w:w="1134" w:type="dxa"/>
          </w:tcPr>
          <w:p w14:paraId="04C3DFCE" w14:textId="2EB62A03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2126" w:type="dxa"/>
          </w:tcPr>
          <w:p w14:paraId="696D9921" w14:textId="2ACB2ADE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16 July 2014</w:t>
            </w:r>
          </w:p>
        </w:tc>
        <w:tc>
          <w:tcPr>
            <w:tcW w:w="2126" w:type="dxa"/>
            <w:shd w:val="clear" w:color="auto" w:fill="auto"/>
          </w:tcPr>
          <w:p w14:paraId="2C988924" w14:textId="05E6770D" w:rsidR="00E269BB" w:rsidRDefault="00E269BB" w:rsidP="00E269BB">
            <w:pPr>
              <w:tabs>
                <w:tab w:val="left" w:pos="5408"/>
              </w:tabs>
              <w:ind w:right="-1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17 July 2014</w:t>
            </w:r>
          </w:p>
        </w:tc>
        <w:tc>
          <w:tcPr>
            <w:tcW w:w="3402" w:type="dxa"/>
          </w:tcPr>
          <w:p w14:paraId="72D1F11B" w14:textId="77777777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269BB" w14:paraId="7A854C3B" w14:textId="77777777" w:rsidTr="00F7757D">
        <w:tc>
          <w:tcPr>
            <w:tcW w:w="6380" w:type="dxa"/>
          </w:tcPr>
          <w:p w14:paraId="0A5FBC3B" w14:textId="3FEB383E" w:rsidR="00E269BB" w:rsidRPr="008A22FC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Extension of sanctions in Crimea and Sevastopol: prohibition of</w:t>
            </w:r>
            <w:r w:rsidRPr="008A22FC">
              <w:rPr>
                <w:rFonts w:ascii="Arial" w:hAnsi="Arial" w:cs="Arial"/>
                <w:szCs w:val="22"/>
                <w:lang w:val="en-US"/>
              </w:rPr>
              <w:t xml:space="preserve"> investment </w:t>
            </w:r>
            <w:r>
              <w:rPr>
                <w:rFonts w:ascii="Arial" w:hAnsi="Arial" w:cs="Arial"/>
                <w:szCs w:val="22"/>
                <w:lang w:val="en-US"/>
              </w:rPr>
              <w:t>and</w:t>
            </w:r>
            <w:r w:rsidRPr="008A22FC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of</w:t>
            </w:r>
            <w:r w:rsidRPr="008A22FC">
              <w:rPr>
                <w:rFonts w:ascii="Arial" w:hAnsi="Arial" w:cs="Arial"/>
                <w:szCs w:val="22"/>
                <w:lang w:val="en-US"/>
              </w:rPr>
              <w:t xml:space="preserve"> export of key equipment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and technology</w:t>
            </w:r>
            <w:r w:rsidRPr="008A22FC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for</w:t>
            </w:r>
            <w:r w:rsidRPr="008A22FC">
              <w:rPr>
                <w:rFonts w:ascii="Arial" w:hAnsi="Arial" w:cs="Arial"/>
                <w:szCs w:val="22"/>
                <w:lang w:val="en-US"/>
              </w:rPr>
              <w:t xml:space="preserve"> infrastructure projects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A22FC">
              <w:rPr>
                <w:rFonts w:ascii="Arial" w:hAnsi="Arial" w:cs="Arial"/>
                <w:szCs w:val="22"/>
                <w:lang w:val="en-US"/>
              </w:rPr>
              <w:t>in the transport, telecommunications and energy sectors and in relation to the exploitation</w:t>
            </w:r>
            <w:bookmarkStart w:id="0" w:name="_GoBack"/>
            <w:bookmarkEnd w:id="0"/>
            <w:r w:rsidRPr="008A22FC">
              <w:rPr>
                <w:rFonts w:ascii="Arial" w:hAnsi="Arial" w:cs="Arial"/>
                <w:szCs w:val="22"/>
                <w:lang w:val="en-US"/>
              </w:rPr>
              <w:t xml:space="preserve"> of oil, gas and minerals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+ prohibition to provide</w:t>
            </w:r>
            <w:r w:rsidRPr="008A22FC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A22FC">
              <w:rPr>
                <w:rFonts w:ascii="Arial" w:hAnsi="Arial" w:cs="Arial"/>
                <w:szCs w:val="22"/>
                <w:lang w:eastAsia="fr-BE"/>
              </w:rPr>
              <w:t>financ</w:t>
            </w:r>
            <w:r>
              <w:rPr>
                <w:rFonts w:ascii="Arial" w:hAnsi="Arial" w:cs="Arial"/>
                <w:szCs w:val="22"/>
                <w:lang w:eastAsia="fr-BE"/>
              </w:rPr>
              <w:t>ial</w:t>
            </w:r>
            <w:r w:rsidRPr="008A22FC">
              <w:rPr>
                <w:rFonts w:ascii="Arial" w:hAnsi="Arial" w:cs="Arial"/>
                <w:szCs w:val="22"/>
                <w:lang w:eastAsia="fr-BE"/>
              </w:rPr>
              <w:t xml:space="preserve"> and insurance services related to such transactions</w:t>
            </w:r>
          </w:p>
        </w:tc>
        <w:tc>
          <w:tcPr>
            <w:tcW w:w="1134" w:type="dxa"/>
          </w:tcPr>
          <w:p w14:paraId="15C4DF4E" w14:textId="50EAE95E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</w:t>
            </w:r>
          </w:p>
        </w:tc>
        <w:tc>
          <w:tcPr>
            <w:tcW w:w="2126" w:type="dxa"/>
          </w:tcPr>
          <w:p w14:paraId="3CB76BD5" w14:textId="7D9F5781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30 July 2014</w:t>
            </w:r>
          </w:p>
        </w:tc>
        <w:tc>
          <w:tcPr>
            <w:tcW w:w="2126" w:type="dxa"/>
            <w:shd w:val="clear" w:color="auto" w:fill="auto"/>
          </w:tcPr>
          <w:p w14:paraId="63B0A291" w14:textId="6A1BB773" w:rsidR="00E269BB" w:rsidRPr="00F8466D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31 July 2014</w:t>
            </w:r>
          </w:p>
        </w:tc>
        <w:tc>
          <w:tcPr>
            <w:tcW w:w="3402" w:type="dxa"/>
          </w:tcPr>
          <w:p w14:paraId="287DBB40" w14:textId="77777777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269BB" w14:paraId="294ED8ED" w14:textId="77777777" w:rsidTr="00F7757D">
        <w:tc>
          <w:tcPr>
            <w:tcW w:w="6380" w:type="dxa"/>
          </w:tcPr>
          <w:p w14:paraId="4BE77A2B" w14:textId="4E89855D" w:rsidR="00E269BB" w:rsidRDefault="00E269BB" w:rsidP="00E269BB">
            <w:pPr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</w:t>
            </w:r>
            <w:r w:rsidRPr="00E32FB8">
              <w:rPr>
                <w:rFonts w:ascii="Arial" w:hAnsi="Arial" w:cs="Arial"/>
                <w:szCs w:val="22"/>
                <w:lang w:val="en-US"/>
              </w:rPr>
              <w:t>anctions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in several sectors:</w:t>
            </w:r>
          </w:p>
          <w:p w14:paraId="4FFB42D6" w14:textId="4BFA808C" w:rsidR="00E269BB" w:rsidRPr="00BC5498" w:rsidRDefault="00E269BB" w:rsidP="00E269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  <w:lang w:val="en-US"/>
              </w:rPr>
            </w:pPr>
            <w:r w:rsidRPr="00BC5498">
              <w:rPr>
                <w:rFonts w:ascii="Arial" w:hAnsi="Arial" w:cs="Arial"/>
                <w:szCs w:val="22"/>
                <w:lang w:val="en-US"/>
              </w:rPr>
              <w:t>Energy: on sensitive goods and technologies when they are destined for deep water oil exploration and production, arctic oil exploration and production or shale oil projects</w:t>
            </w:r>
          </w:p>
          <w:p w14:paraId="390FFE25" w14:textId="7EFBB4DF" w:rsidR="00E269BB" w:rsidRPr="00BC5498" w:rsidRDefault="00E269BB" w:rsidP="00E269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  <w:lang w:val="en-US"/>
              </w:rPr>
            </w:pPr>
            <w:r w:rsidRPr="00BC5498">
              <w:rPr>
                <w:rFonts w:ascii="Arial" w:hAnsi="Arial" w:cs="Arial"/>
                <w:szCs w:val="22"/>
                <w:lang w:val="en-US"/>
              </w:rPr>
              <w:t>Defen</w:t>
            </w:r>
            <w:r w:rsidR="00504D8B">
              <w:rPr>
                <w:rFonts w:ascii="Arial" w:hAnsi="Arial" w:cs="Arial"/>
                <w:szCs w:val="22"/>
                <w:lang w:val="en-US"/>
              </w:rPr>
              <w:t>s</w:t>
            </w:r>
            <w:r w:rsidRPr="00BC5498">
              <w:rPr>
                <w:rFonts w:ascii="Arial" w:hAnsi="Arial" w:cs="Arial"/>
                <w:szCs w:val="22"/>
                <w:lang w:val="en-US"/>
              </w:rPr>
              <w:t>e: prohibition of import and export of arms and related materiel on the EU common military list</w:t>
            </w:r>
          </w:p>
          <w:p w14:paraId="29B11F4E" w14:textId="2E640CC4" w:rsidR="00E269BB" w:rsidRPr="00BC5498" w:rsidRDefault="00E269BB" w:rsidP="00E269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  <w:lang w:val="en-US"/>
              </w:rPr>
            </w:pPr>
            <w:r w:rsidRPr="00BC5498">
              <w:rPr>
                <w:rFonts w:ascii="Arial" w:hAnsi="Arial" w:cs="Arial"/>
                <w:szCs w:val="22"/>
                <w:lang w:val="en-US"/>
              </w:rPr>
              <w:lastRenderedPageBreak/>
              <w:t>Dual use: on dual use goods and technology for military use or to military end-users</w:t>
            </w:r>
          </w:p>
          <w:p w14:paraId="35C3999F" w14:textId="24231C3F" w:rsidR="00E269BB" w:rsidRDefault="00E269BB" w:rsidP="00E269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  <w:lang w:val="en-US"/>
              </w:rPr>
            </w:pPr>
            <w:r w:rsidRPr="00BC5498">
              <w:rPr>
                <w:rFonts w:ascii="Arial" w:hAnsi="Arial" w:cs="Arial"/>
                <w:szCs w:val="22"/>
                <w:lang w:val="en-US"/>
              </w:rPr>
              <w:t>Russia’s access to EU capital markets: on transactions in or the provision of financing or investment services</w:t>
            </w:r>
            <w:r w:rsidRPr="005737A9">
              <w:rPr>
                <w:rFonts w:ascii="Arial" w:hAnsi="Arial" w:cs="Arial"/>
                <w:szCs w:val="22"/>
                <w:lang w:val="en-US"/>
              </w:rPr>
              <w:t xml:space="preserve"> or dealing in new bonds or equity or similar financial instruments with a maturity exceeding 90 days issued by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the </w:t>
            </w:r>
            <w:r w:rsidRPr="005737A9">
              <w:rPr>
                <w:rFonts w:ascii="Arial" w:hAnsi="Arial" w:cs="Arial"/>
                <w:szCs w:val="22"/>
                <w:lang w:val="en-US"/>
              </w:rPr>
              <w:t>5 Russian state-owned banks</w:t>
            </w:r>
          </w:p>
        </w:tc>
        <w:tc>
          <w:tcPr>
            <w:tcW w:w="1134" w:type="dxa"/>
          </w:tcPr>
          <w:p w14:paraId="2C0C3DE2" w14:textId="093229A4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lastRenderedPageBreak/>
              <w:t>EU + US</w:t>
            </w:r>
          </w:p>
        </w:tc>
        <w:tc>
          <w:tcPr>
            <w:tcW w:w="2126" w:type="dxa"/>
          </w:tcPr>
          <w:p w14:paraId="686AF23E" w14:textId="77777777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AC3EC1">
              <w:rPr>
                <w:rFonts w:ascii="Arial" w:hAnsi="Arial" w:cs="Arial"/>
                <w:szCs w:val="22"/>
                <w:lang w:val="en-US"/>
              </w:rPr>
              <w:t>31 July 2014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(EU)</w:t>
            </w:r>
          </w:p>
          <w:p w14:paraId="6CAEBF5F" w14:textId="498C0342" w:rsidR="00E269BB" w:rsidRPr="00AC3EC1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11-12 September 2014 (US)</w:t>
            </w:r>
          </w:p>
        </w:tc>
        <w:tc>
          <w:tcPr>
            <w:tcW w:w="2126" w:type="dxa"/>
          </w:tcPr>
          <w:p w14:paraId="7243D906" w14:textId="5B673E90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AC3EC1">
              <w:rPr>
                <w:rFonts w:ascii="Arial" w:hAnsi="Arial" w:cs="Arial"/>
                <w:szCs w:val="22"/>
                <w:lang w:val="en-US"/>
              </w:rPr>
              <w:t>1 August 2014</w:t>
            </w:r>
            <w:r w:rsidR="00F7757D">
              <w:rPr>
                <w:rFonts w:ascii="Arial" w:hAnsi="Arial" w:cs="Arial"/>
                <w:szCs w:val="22"/>
                <w:lang w:val="en-US"/>
              </w:rPr>
              <w:t xml:space="preserve"> (EU)</w:t>
            </w:r>
          </w:p>
          <w:p w14:paraId="06F0892A" w14:textId="2FE9BE61" w:rsidR="00E269BB" w:rsidRPr="00AC3EC1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11-12 September 2014 (US)</w:t>
            </w:r>
          </w:p>
        </w:tc>
        <w:tc>
          <w:tcPr>
            <w:tcW w:w="3402" w:type="dxa"/>
          </w:tcPr>
          <w:p w14:paraId="02704D37" w14:textId="3F3215DD" w:rsidR="00E269BB" w:rsidRDefault="00E269BB" w:rsidP="00E269BB">
            <w:pPr>
              <w:tabs>
                <w:tab w:val="center" w:pos="854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269BB" w14:paraId="09F492D7" w14:textId="77777777" w:rsidTr="009E588C">
        <w:tc>
          <w:tcPr>
            <w:tcW w:w="6380" w:type="dxa"/>
          </w:tcPr>
          <w:p w14:paraId="4E009024" w14:textId="77777777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6A6A040" w14:textId="68617A19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5E591E" w14:textId="72216E15" w:rsidR="00E269BB" w:rsidRPr="009E588C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9E588C">
              <w:rPr>
                <w:rFonts w:ascii="Arial" w:hAnsi="Arial" w:cs="Arial"/>
                <w:szCs w:val="22"/>
                <w:lang w:val="en-US"/>
              </w:rPr>
              <w:t>7 August 2014</w:t>
            </w:r>
          </w:p>
        </w:tc>
        <w:tc>
          <w:tcPr>
            <w:tcW w:w="2126" w:type="dxa"/>
          </w:tcPr>
          <w:p w14:paraId="5B8DB1A2" w14:textId="1B99D228" w:rsidR="00E269BB" w:rsidRPr="00324135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324135">
              <w:rPr>
                <w:rFonts w:ascii="Arial" w:hAnsi="Arial" w:cs="Arial"/>
                <w:szCs w:val="22"/>
                <w:lang w:val="en-US"/>
              </w:rPr>
              <w:t>7 August 2014</w:t>
            </w:r>
          </w:p>
        </w:tc>
        <w:tc>
          <w:tcPr>
            <w:tcW w:w="3402" w:type="dxa"/>
          </w:tcPr>
          <w:p w14:paraId="08A70196" w14:textId="19338427" w:rsidR="00E269BB" w:rsidRDefault="00E269BB" w:rsidP="00E269BB">
            <w:pPr>
              <w:tabs>
                <w:tab w:val="center" w:pos="854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Embargoes: complete ban on imports of </w:t>
            </w:r>
            <w:r w:rsidRPr="009E4FE4">
              <w:rPr>
                <w:rFonts w:ascii="Arial" w:hAnsi="Arial" w:cs="Arial"/>
                <w:szCs w:val="22"/>
                <w:lang w:val="en-US"/>
              </w:rPr>
              <w:t>beef and pork meet, fruit</w:t>
            </w:r>
            <w:r>
              <w:rPr>
                <w:rFonts w:ascii="Arial" w:hAnsi="Arial" w:cs="Arial"/>
                <w:szCs w:val="22"/>
                <w:lang w:val="en-US"/>
              </w:rPr>
              <w:t>s</w:t>
            </w:r>
            <w:r w:rsidRPr="009E4FE4">
              <w:rPr>
                <w:rFonts w:ascii="Arial" w:hAnsi="Arial" w:cs="Arial"/>
                <w:szCs w:val="22"/>
                <w:lang w:val="en-US"/>
              </w:rPr>
              <w:t xml:space="preserve"> and vegetables, poultry, fish, cheese, milk and other dairy products</w:t>
            </w:r>
          </w:p>
        </w:tc>
      </w:tr>
      <w:tr w:rsidR="00E269BB" w14:paraId="50DBCF8E" w14:textId="77777777" w:rsidTr="00F7757D">
        <w:tc>
          <w:tcPr>
            <w:tcW w:w="6380" w:type="dxa"/>
          </w:tcPr>
          <w:p w14:paraId="2BA07B10" w14:textId="0CCE1F59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Extension of sanctions in several sectors:</w:t>
            </w:r>
          </w:p>
          <w:p w14:paraId="26D2E144" w14:textId="6A41A00E" w:rsidR="00E269BB" w:rsidRPr="00BC5498" w:rsidRDefault="00E269BB" w:rsidP="00E269BB">
            <w:pPr>
              <w:pStyle w:val="ListParagraph"/>
              <w:numPr>
                <w:ilvl w:val="0"/>
                <w:numId w:val="6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BC5498">
              <w:rPr>
                <w:rFonts w:ascii="Arial" w:hAnsi="Arial" w:cs="Arial"/>
                <w:szCs w:val="22"/>
                <w:lang w:val="en-US"/>
              </w:rPr>
              <w:t>Energy: on certain services necessary for deep water oil exploitation and production, arctic oil exploration or production and shale oil projects</w:t>
            </w:r>
          </w:p>
          <w:p w14:paraId="1203D89D" w14:textId="59AEACE2" w:rsidR="00E269BB" w:rsidRPr="00BC5498" w:rsidRDefault="00E269BB" w:rsidP="00E269BB">
            <w:pPr>
              <w:pStyle w:val="ListParagraph"/>
              <w:numPr>
                <w:ilvl w:val="0"/>
                <w:numId w:val="6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BC5498">
              <w:rPr>
                <w:rFonts w:ascii="Arial" w:hAnsi="Arial" w:cs="Arial"/>
                <w:szCs w:val="22"/>
                <w:lang w:val="en-US"/>
              </w:rPr>
              <w:t>Dual use: 9 mixed defen</w:t>
            </w:r>
            <w:r w:rsidR="005F7786">
              <w:rPr>
                <w:rFonts w:ascii="Arial" w:hAnsi="Arial" w:cs="Arial"/>
                <w:szCs w:val="22"/>
                <w:lang w:val="en-US"/>
              </w:rPr>
              <w:t>s</w:t>
            </w:r>
            <w:r w:rsidRPr="00BC5498">
              <w:rPr>
                <w:rFonts w:ascii="Arial" w:hAnsi="Arial" w:cs="Arial"/>
                <w:szCs w:val="22"/>
                <w:lang w:val="en-US"/>
              </w:rPr>
              <w:t>e companies will no longer receive dual use goods from the EU</w:t>
            </w:r>
          </w:p>
          <w:p w14:paraId="026B58F7" w14:textId="2079B370" w:rsidR="00E269BB" w:rsidRPr="002631D2" w:rsidRDefault="00E269BB" w:rsidP="00E269BB">
            <w:pPr>
              <w:pStyle w:val="ListParagraph"/>
              <w:numPr>
                <w:ilvl w:val="0"/>
                <w:numId w:val="6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BC5498">
              <w:rPr>
                <w:rFonts w:ascii="Arial" w:hAnsi="Arial" w:cs="Arial"/>
                <w:szCs w:val="22"/>
                <w:lang w:val="en-US"/>
              </w:rPr>
              <w:t>Russia’s access to EU capital markets: prohibition for EU nationals and companies to provide loans to the 5 Russian state-owned banks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and extension</w:t>
            </w:r>
            <w:r w:rsidRPr="002631D2">
              <w:rPr>
                <w:rFonts w:ascii="Arial" w:hAnsi="Arial" w:cs="Arial"/>
                <w:szCs w:val="22"/>
                <w:lang w:val="en-US"/>
              </w:rPr>
              <w:t xml:space="preserve"> to financial instruments with a maturity exceeding 30 days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(90 days previously)</w:t>
            </w:r>
            <w:r w:rsidRPr="002631D2">
              <w:rPr>
                <w:rFonts w:ascii="Arial" w:hAnsi="Arial" w:cs="Arial"/>
                <w:szCs w:val="22"/>
                <w:lang w:val="en-US"/>
              </w:rPr>
              <w:t xml:space="preserve"> issued by the 5 Russian state-owned banks</w:t>
            </w:r>
            <w:r>
              <w:rPr>
                <w:rFonts w:ascii="Arial" w:hAnsi="Arial" w:cs="Arial"/>
                <w:szCs w:val="22"/>
                <w:lang w:val="en-US"/>
              </w:rPr>
              <w:t>, and extension to the related services + same restrictions for Russia’s 3 major defen</w:t>
            </w:r>
            <w:r w:rsidR="005F7786">
              <w:rPr>
                <w:rFonts w:ascii="Arial" w:hAnsi="Arial" w:cs="Arial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Cs w:val="22"/>
                <w:lang w:val="en-US"/>
              </w:rPr>
              <w:t>e companies and 3 major energy companies</w:t>
            </w:r>
          </w:p>
        </w:tc>
        <w:tc>
          <w:tcPr>
            <w:tcW w:w="1134" w:type="dxa"/>
          </w:tcPr>
          <w:p w14:paraId="2D126478" w14:textId="72F0A013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 + US</w:t>
            </w:r>
          </w:p>
        </w:tc>
        <w:tc>
          <w:tcPr>
            <w:tcW w:w="2126" w:type="dxa"/>
            <w:shd w:val="clear" w:color="auto" w:fill="auto"/>
          </w:tcPr>
          <w:p w14:paraId="35A52CBB" w14:textId="4F28D397" w:rsidR="00E269BB" w:rsidRPr="002C60A5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2C60A5">
              <w:rPr>
                <w:rFonts w:ascii="Arial" w:hAnsi="Arial" w:cs="Arial"/>
                <w:szCs w:val="22"/>
                <w:lang w:val="en-US"/>
              </w:rPr>
              <w:t>8 September 2014</w:t>
            </w:r>
          </w:p>
        </w:tc>
        <w:tc>
          <w:tcPr>
            <w:tcW w:w="2126" w:type="dxa"/>
            <w:shd w:val="clear" w:color="auto" w:fill="auto"/>
          </w:tcPr>
          <w:p w14:paraId="1CB1D34F" w14:textId="778E9510" w:rsidR="00E269BB" w:rsidRPr="002C60A5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2C60A5">
              <w:rPr>
                <w:rFonts w:ascii="Arial" w:hAnsi="Arial" w:cs="Arial"/>
                <w:szCs w:val="22"/>
                <w:lang w:val="en-US"/>
              </w:rPr>
              <w:t>8 September 2014</w:t>
            </w:r>
          </w:p>
        </w:tc>
        <w:tc>
          <w:tcPr>
            <w:tcW w:w="3402" w:type="dxa"/>
          </w:tcPr>
          <w:p w14:paraId="56608BB0" w14:textId="7F7DA7A8" w:rsidR="00E269BB" w:rsidRDefault="00E269BB" w:rsidP="00E269BB">
            <w:pPr>
              <w:tabs>
                <w:tab w:val="center" w:pos="854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269BB" w14:paraId="586C28AC" w14:textId="77777777" w:rsidTr="00F7757D">
        <w:tc>
          <w:tcPr>
            <w:tcW w:w="6380" w:type="dxa"/>
          </w:tcPr>
          <w:p w14:paraId="1AF6E5FB" w14:textId="77777777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50C617A" w14:textId="66ED85F8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7045C04" w14:textId="54E11F31" w:rsidR="00E269BB" w:rsidRPr="009E588C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9E588C">
              <w:rPr>
                <w:rFonts w:ascii="Arial" w:hAnsi="Arial" w:cs="Arial"/>
                <w:szCs w:val="22"/>
                <w:lang w:val="en-US"/>
              </w:rPr>
              <w:t>21 October 2014</w:t>
            </w:r>
          </w:p>
        </w:tc>
        <w:tc>
          <w:tcPr>
            <w:tcW w:w="2126" w:type="dxa"/>
          </w:tcPr>
          <w:p w14:paraId="4D4ABEFF" w14:textId="3F91123D" w:rsidR="00E269BB" w:rsidRPr="009E588C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9E588C">
              <w:rPr>
                <w:rFonts w:ascii="Arial" w:hAnsi="Arial" w:cs="Arial"/>
                <w:szCs w:val="22"/>
                <w:lang w:val="en-US"/>
              </w:rPr>
              <w:t>21 October 2014</w:t>
            </w:r>
          </w:p>
        </w:tc>
        <w:tc>
          <w:tcPr>
            <w:tcW w:w="3402" w:type="dxa"/>
          </w:tcPr>
          <w:p w14:paraId="33E0F6E3" w14:textId="5A5EFA84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Embargoes: extension of the ban to more meat products</w:t>
            </w:r>
          </w:p>
        </w:tc>
      </w:tr>
      <w:tr w:rsidR="00E269BB" w14:paraId="46D17F16" w14:textId="77777777" w:rsidTr="00F7757D">
        <w:tc>
          <w:tcPr>
            <w:tcW w:w="6380" w:type="dxa"/>
          </w:tcPr>
          <w:p w14:paraId="6F60F45C" w14:textId="2F395808" w:rsidR="00E269BB" w:rsidRDefault="00E269BB" w:rsidP="00E269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Extension of sanctions in Crimea and Sevastopol in several sectors:</w:t>
            </w:r>
          </w:p>
          <w:p w14:paraId="520B5E7D" w14:textId="5152F5DB" w:rsidR="00E269BB" w:rsidRPr="004447E5" w:rsidRDefault="00E269BB" w:rsidP="00E269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fr-BE"/>
              </w:rPr>
            </w:pPr>
            <w:r w:rsidRPr="004447E5">
              <w:rPr>
                <w:rFonts w:ascii="Arial" w:hAnsi="Arial" w:cs="Arial"/>
                <w:szCs w:val="22"/>
                <w:lang w:val="en-US"/>
              </w:rPr>
              <w:t xml:space="preserve">Investment: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prohibition of investment, including in </w:t>
            </w:r>
            <w:r w:rsidRPr="004447E5">
              <w:rPr>
                <w:rFonts w:ascii="Arial" w:hAnsi="Arial" w:cs="Arial"/>
                <w:szCs w:val="22"/>
                <w:lang w:val="en-US"/>
              </w:rPr>
              <w:t>real estate</w:t>
            </w:r>
            <w:r>
              <w:rPr>
                <w:rFonts w:ascii="Arial" w:hAnsi="Arial" w:cs="Arial"/>
                <w:szCs w:val="22"/>
                <w:lang w:val="en-US"/>
              </w:rPr>
              <w:t xml:space="preserve">, </w:t>
            </w:r>
            <w:r w:rsidRPr="004447E5">
              <w:rPr>
                <w:rFonts w:ascii="Arial" w:hAnsi="Arial" w:cs="Arial"/>
                <w:szCs w:val="22"/>
                <w:lang w:val="en-US"/>
              </w:rPr>
              <w:t>entities</w:t>
            </w:r>
            <w:r>
              <w:rPr>
                <w:rFonts w:ascii="Arial" w:hAnsi="Arial" w:cs="Arial"/>
                <w:szCs w:val="22"/>
                <w:lang w:val="en-US"/>
              </w:rPr>
              <w:t>,</w:t>
            </w:r>
            <w:r w:rsidRPr="004447E5">
              <w:rPr>
                <w:rFonts w:ascii="Arial" w:hAnsi="Arial" w:cs="Arial"/>
                <w:szCs w:val="22"/>
                <w:lang w:val="en-US"/>
              </w:rPr>
              <w:t xml:space="preserve"> companies or supply related services</w:t>
            </w:r>
          </w:p>
          <w:p w14:paraId="482D8128" w14:textId="26801213" w:rsidR="00E269BB" w:rsidRPr="004447E5" w:rsidRDefault="00E269BB" w:rsidP="00E269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fr-BE"/>
              </w:rPr>
            </w:pPr>
            <w:r w:rsidRPr="004447E5">
              <w:rPr>
                <w:rFonts w:ascii="Arial" w:hAnsi="Arial" w:cs="Arial"/>
                <w:szCs w:val="22"/>
                <w:lang w:eastAsia="fr-BE"/>
              </w:rPr>
              <w:lastRenderedPageBreak/>
              <w:t xml:space="preserve">Tourism: EU operators </w:t>
            </w:r>
            <w:r>
              <w:rPr>
                <w:rFonts w:ascii="Arial" w:hAnsi="Arial" w:cs="Arial"/>
                <w:szCs w:val="22"/>
                <w:lang w:eastAsia="fr-BE"/>
              </w:rPr>
              <w:t xml:space="preserve">are not allowed to supply </w:t>
            </w:r>
            <w:r w:rsidRPr="004447E5">
              <w:rPr>
                <w:rFonts w:ascii="Arial" w:hAnsi="Arial" w:cs="Arial"/>
                <w:szCs w:val="22"/>
                <w:lang w:eastAsia="fr-BE"/>
              </w:rPr>
              <w:t>tourism services</w:t>
            </w:r>
          </w:p>
          <w:p w14:paraId="6C21D52E" w14:textId="18EA7C33" w:rsidR="00E269BB" w:rsidRPr="00B11E54" w:rsidRDefault="00E269BB" w:rsidP="00E269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fr-BE"/>
              </w:rPr>
            </w:pPr>
            <w:r w:rsidRPr="004447E5">
              <w:rPr>
                <w:rFonts w:ascii="Arial" w:hAnsi="Arial" w:cs="Arial"/>
                <w:szCs w:val="22"/>
                <w:lang w:eastAsia="fr-BE"/>
              </w:rPr>
              <w:t>Transport, telecommunications and energy: prohibition to export certain goods and technology</w:t>
            </w:r>
            <w:r>
              <w:rPr>
                <w:rFonts w:ascii="Arial" w:hAnsi="Arial" w:cs="Arial"/>
                <w:szCs w:val="22"/>
                <w:lang w:eastAsia="fr-BE"/>
              </w:rPr>
              <w:t>, and to provide technical assistance, brokering, construction or engineering services related to infrastructure</w:t>
            </w:r>
          </w:p>
        </w:tc>
        <w:tc>
          <w:tcPr>
            <w:tcW w:w="1134" w:type="dxa"/>
          </w:tcPr>
          <w:p w14:paraId="2CA386C4" w14:textId="0429CD65" w:rsidR="00E269BB" w:rsidRDefault="00F841B3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lastRenderedPageBreak/>
              <w:t>EU</w:t>
            </w:r>
          </w:p>
        </w:tc>
        <w:tc>
          <w:tcPr>
            <w:tcW w:w="2126" w:type="dxa"/>
          </w:tcPr>
          <w:p w14:paraId="1875D0CB" w14:textId="47796499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  <w:r w:rsidR="001D1B95">
              <w:rPr>
                <w:rFonts w:ascii="Arial" w:hAnsi="Arial" w:cs="Arial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December 2014</w:t>
            </w:r>
          </w:p>
        </w:tc>
        <w:tc>
          <w:tcPr>
            <w:tcW w:w="2126" w:type="dxa"/>
          </w:tcPr>
          <w:p w14:paraId="7AD7A913" w14:textId="3153D5CF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20 December 2014</w:t>
            </w:r>
          </w:p>
        </w:tc>
        <w:tc>
          <w:tcPr>
            <w:tcW w:w="3402" w:type="dxa"/>
          </w:tcPr>
          <w:p w14:paraId="0B834A99" w14:textId="77777777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D1B95" w14:paraId="78B2B67C" w14:textId="77777777" w:rsidTr="00F7757D">
        <w:tc>
          <w:tcPr>
            <w:tcW w:w="6380" w:type="dxa"/>
          </w:tcPr>
          <w:p w14:paraId="01D2B3D1" w14:textId="474B52FD" w:rsidR="001D1B95" w:rsidRDefault="001D1B95" w:rsidP="00E269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Prohibition of investment in Crimea and of import and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export of US goods and services from or to Crimea</w:t>
            </w:r>
          </w:p>
        </w:tc>
        <w:tc>
          <w:tcPr>
            <w:tcW w:w="1134" w:type="dxa"/>
          </w:tcPr>
          <w:p w14:paraId="0B4914C7" w14:textId="217F7C71" w:rsidR="001D1B95" w:rsidRDefault="001D1B95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2126" w:type="dxa"/>
          </w:tcPr>
          <w:p w14:paraId="0DAED6A5" w14:textId="706A56AC" w:rsidR="001D1B95" w:rsidRDefault="001D1B95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19 December 2014</w:t>
            </w:r>
          </w:p>
        </w:tc>
        <w:tc>
          <w:tcPr>
            <w:tcW w:w="2126" w:type="dxa"/>
          </w:tcPr>
          <w:p w14:paraId="076D2506" w14:textId="6D56C0B1" w:rsidR="001D1B95" w:rsidRDefault="001D1B95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19 December 2014</w:t>
            </w:r>
          </w:p>
        </w:tc>
        <w:tc>
          <w:tcPr>
            <w:tcW w:w="3402" w:type="dxa"/>
          </w:tcPr>
          <w:p w14:paraId="01321094" w14:textId="77777777" w:rsidR="001D1B95" w:rsidRDefault="001D1B95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269BB" w14:paraId="12B4A4AC" w14:textId="77777777" w:rsidTr="00777B5C">
        <w:tc>
          <w:tcPr>
            <w:tcW w:w="6380" w:type="dxa"/>
            <w:shd w:val="clear" w:color="auto" w:fill="auto"/>
          </w:tcPr>
          <w:p w14:paraId="17548AE0" w14:textId="2C57A9A0" w:rsidR="00A93F7D" w:rsidRDefault="00777B5C" w:rsidP="00E269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Additional unilateral sanctions under the “</w:t>
            </w:r>
            <w:r w:rsidRPr="00777B5C">
              <w:rPr>
                <w:rFonts w:ascii="Arial" w:hAnsi="Arial" w:cs="Arial"/>
                <w:szCs w:val="22"/>
                <w:lang w:val="en-US"/>
              </w:rPr>
              <w:t>Countering America’s adversaries through sanctions Act</w:t>
            </w:r>
            <w:r>
              <w:rPr>
                <w:rFonts w:ascii="Arial" w:hAnsi="Arial" w:cs="Arial"/>
                <w:szCs w:val="22"/>
                <w:lang w:val="en-US"/>
              </w:rPr>
              <w:t xml:space="preserve">”: 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>under Section 232 on pipelines</w:t>
            </w:r>
            <w:r w:rsidRPr="00A864F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777B5C">
              <w:rPr>
                <w:rFonts w:ascii="Arial" w:hAnsi="Arial" w:cs="Arial"/>
                <w:b/>
                <w:szCs w:val="22"/>
                <w:lang w:val="en-US"/>
              </w:rPr>
              <w:t>planned but not yet implemented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+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under 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>Sections 223 on oil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and </w:t>
            </w:r>
            <w:r w:rsidRPr="000D3524">
              <w:rPr>
                <w:rFonts w:ascii="Arial" w:hAnsi="Arial" w:cs="Arial"/>
                <w:szCs w:val="22"/>
                <w:lang w:val="en-US"/>
              </w:rPr>
              <w:t>Russian state-owned railway, mining and metal companies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 xml:space="preserve">, 228 </w:t>
            </w:r>
            <w:r>
              <w:rPr>
                <w:rFonts w:ascii="Arial" w:hAnsi="Arial" w:cs="Arial"/>
                <w:szCs w:val="22"/>
                <w:lang w:val="en-US"/>
              </w:rPr>
              <w:t>relating to transactions with human rights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 xml:space="preserve"> abusers, 231 on persons engaging in transactions with the intelligence o</w:t>
            </w:r>
            <w:r>
              <w:rPr>
                <w:rFonts w:ascii="Arial" w:hAnsi="Arial" w:cs="Arial"/>
                <w:szCs w:val="22"/>
                <w:lang w:val="en-US"/>
              </w:rPr>
              <w:t>r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 xml:space="preserve"> defen</w:t>
            </w:r>
            <w:r w:rsidR="008816B3">
              <w:rPr>
                <w:rFonts w:ascii="Arial" w:hAnsi="Arial" w:cs="Arial"/>
                <w:szCs w:val="22"/>
                <w:lang w:val="en-US"/>
              </w:rPr>
              <w:t>s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>e sectors of the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Russian government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 xml:space="preserve"> and 233 on investment in or facilitation of </w:t>
            </w:r>
            <w:r w:rsidR="00794730">
              <w:rPr>
                <w:rFonts w:ascii="Arial" w:hAnsi="Arial" w:cs="Arial"/>
                <w:szCs w:val="22"/>
                <w:lang w:val="en-US"/>
              </w:rPr>
              <w:t xml:space="preserve">Russian </w:t>
            </w:r>
            <w:r w:rsidR="00A864F7" w:rsidRPr="00A864F7">
              <w:rPr>
                <w:rFonts w:ascii="Arial" w:hAnsi="Arial" w:cs="Arial"/>
                <w:szCs w:val="22"/>
                <w:lang w:val="en-US"/>
              </w:rPr>
              <w:t xml:space="preserve">state-owned assets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+ </w:t>
            </w:r>
            <w:r w:rsidR="00E269BB" w:rsidRPr="000D3524">
              <w:rPr>
                <w:rFonts w:ascii="Arial" w:hAnsi="Arial" w:cs="Arial"/>
                <w:szCs w:val="22"/>
                <w:lang w:val="en-US"/>
              </w:rPr>
              <w:t xml:space="preserve">prohibition </w:t>
            </w:r>
            <w:r>
              <w:rPr>
                <w:rFonts w:ascii="Arial" w:hAnsi="Arial" w:cs="Arial"/>
                <w:szCs w:val="22"/>
                <w:lang w:val="en-US"/>
              </w:rPr>
              <w:t>for</w:t>
            </w:r>
            <w:r w:rsidR="00E269BB" w:rsidRPr="000D3524">
              <w:rPr>
                <w:rFonts w:ascii="Arial" w:hAnsi="Arial" w:cs="Arial"/>
                <w:szCs w:val="22"/>
                <w:lang w:val="en-US"/>
              </w:rPr>
              <w:t xml:space="preserve"> US persons from being involved in new deep-water, Arctic offshore or shale projects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with substantial Russian interest</w:t>
            </w:r>
          </w:p>
        </w:tc>
        <w:tc>
          <w:tcPr>
            <w:tcW w:w="1134" w:type="dxa"/>
          </w:tcPr>
          <w:p w14:paraId="21608174" w14:textId="3F9C13F8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2126" w:type="dxa"/>
          </w:tcPr>
          <w:p w14:paraId="0E52FCF6" w14:textId="61B3D61C" w:rsidR="00E269BB" w:rsidRPr="009E588C" w:rsidRDefault="006E31A2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2 </w:t>
            </w:r>
            <w:r w:rsidR="009E588C" w:rsidRPr="009E588C">
              <w:rPr>
                <w:rFonts w:ascii="Arial" w:hAnsi="Arial" w:cs="Arial"/>
                <w:szCs w:val="22"/>
                <w:lang w:val="en-US"/>
              </w:rPr>
              <w:t>August 2017</w:t>
            </w:r>
          </w:p>
        </w:tc>
        <w:tc>
          <w:tcPr>
            <w:tcW w:w="2126" w:type="dxa"/>
          </w:tcPr>
          <w:p w14:paraId="20BF173A" w14:textId="3A8B78FC" w:rsidR="00E269BB" w:rsidRPr="009E588C" w:rsidRDefault="009E588C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August 2017</w:t>
            </w:r>
          </w:p>
        </w:tc>
        <w:tc>
          <w:tcPr>
            <w:tcW w:w="3402" w:type="dxa"/>
          </w:tcPr>
          <w:p w14:paraId="5DEAC5D7" w14:textId="77777777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864F7" w14:paraId="0D117FAF" w14:textId="77777777" w:rsidTr="00F7757D">
        <w:tc>
          <w:tcPr>
            <w:tcW w:w="6380" w:type="dxa"/>
            <w:shd w:val="clear" w:color="auto" w:fill="auto"/>
          </w:tcPr>
          <w:p w14:paraId="3A1A7197" w14:textId="176AA978" w:rsidR="00A864F7" w:rsidRPr="00A864F7" w:rsidRDefault="00A864F7" w:rsidP="00A864F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Prohibition from conducting business and asset freezes on </w:t>
            </w:r>
            <w:r w:rsidRPr="00A864F7">
              <w:rPr>
                <w:rFonts w:ascii="Arial" w:hAnsi="Arial" w:cs="Arial"/>
                <w:szCs w:val="22"/>
                <w:lang w:val="en-US"/>
              </w:rPr>
              <w:t>19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Russian</w:t>
            </w:r>
            <w:r w:rsidRPr="00A864F7">
              <w:rPr>
                <w:rFonts w:ascii="Arial" w:hAnsi="Arial" w:cs="Arial"/>
                <w:szCs w:val="22"/>
                <w:lang w:val="en-US"/>
              </w:rPr>
              <w:t xml:space="preserve"> individuals and 5 entities for meddling in the 2016 U</w:t>
            </w:r>
            <w:r>
              <w:rPr>
                <w:rFonts w:ascii="Arial" w:hAnsi="Arial" w:cs="Arial"/>
                <w:szCs w:val="22"/>
                <w:lang w:val="en-US"/>
              </w:rPr>
              <w:t>S</w:t>
            </w:r>
            <w:r w:rsidRPr="00A864F7">
              <w:rPr>
                <w:rFonts w:ascii="Arial" w:hAnsi="Arial" w:cs="Arial"/>
                <w:szCs w:val="22"/>
                <w:lang w:val="en-US"/>
              </w:rPr>
              <w:t xml:space="preserve"> election and malicious cyber-attacks</w:t>
            </w:r>
          </w:p>
        </w:tc>
        <w:tc>
          <w:tcPr>
            <w:tcW w:w="1134" w:type="dxa"/>
          </w:tcPr>
          <w:p w14:paraId="23847DE2" w14:textId="098E0637" w:rsidR="00A864F7" w:rsidRP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2126" w:type="dxa"/>
          </w:tcPr>
          <w:p w14:paraId="2CDDFA47" w14:textId="3C7A143F" w:rsidR="00A864F7" w:rsidRP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A864F7">
              <w:rPr>
                <w:rFonts w:ascii="Arial" w:hAnsi="Arial" w:cs="Arial"/>
                <w:szCs w:val="22"/>
                <w:lang w:val="en-US"/>
              </w:rPr>
              <w:t>15 March 2018</w:t>
            </w:r>
          </w:p>
        </w:tc>
        <w:tc>
          <w:tcPr>
            <w:tcW w:w="2126" w:type="dxa"/>
          </w:tcPr>
          <w:p w14:paraId="5AD751F4" w14:textId="3D098737" w:rsidR="00A864F7" w:rsidRP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A864F7">
              <w:rPr>
                <w:rFonts w:ascii="Arial" w:hAnsi="Arial" w:cs="Arial"/>
                <w:szCs w:val="22"/>
                <w:lang w:val="en-US"/>
              </w:rPr>
              <w:t>15 March 2018</w:t>
            </w:r>
          </w:p>
        </w:tc>
        <w:tc>
          <w:tcPr>
            <w:tcW w:w="3402" w:type="dxa"/>
            <w:shd w:val="clear" w:color="auto" w:fill="auto"/>
          </w:tcPr>
          <w:p w14:paraId="116FE784" w14:textId="77777777" w:rsidR="00A864F7" w:rsidRP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E269BB" w14:paraId="0DA51490" w14:textId="77777777" w:rsidTr="00F7757D">
        <w:tc>
          <w:tcPr>
            <w:tcW w:w="6380" w:type="dxa"/>
          </w:tcPr>
          <w:p w14:paraId="3B3966D0" w14:textId="489C457B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Extension of visa bans and asset freezes to 155 persons and 38 entities</w:t>
            </w:r>
          </w:p>
        </w:tc>
        <w:tc>
          <w:tcPr>
            <w:tcW w:w="1134" w:type="dxa"/>
          </w:tcPr>
          <w:p w14:paraId="4FB37B22" w14:textId="1464FDCD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 + US</w:t>
            </w:r>
          </w:p>
        </w:tc>
        <w:tc>
          <w:tcPr>
            <w:tcW w:w="2126" w:type="dxa"/>
          </w:tcPr>
          <w:p w14:paraId="2429FFB3" w14:textId="338563B4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March 2018</w:t>
            </w:r>
          </w:p>
        </w:tc>
        <w:tc>
          <w:tcPr>
            <w:tcW w:w="2126" w:type="dxa"/>
          </w:tcPr>
          <w:p w14:paraId="7A432A19" w14:textId="77EAE5F2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March 2018</w:t>
            </w:r>
          </w:p>
        </w:tc>
        <w:tc>
          <w:tcPr>
            <w:tcW w:w="3402" w:type="dxa"/>
          </w:tcPr>
          <w:p w14:paraId="58A6AF6F" w14:textId="77777777" w:rsidR="00E269BB" w:rsidRDefault="00E269BB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864F7" w14:paraId="7AC8F890" w14:textId="77777777" w:rsidTr="00F7757D">
        <w:tc>
          <w:tcPr>
            <w:tcW w:w="6380" w:type="dxa"/>
          </w:tcPr>
          <w:p w14:paraId="2FBACA15" w14:textId="69D33395" w:rsid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Extension of prohibition from conducting business and asset freezes to 7 Russian oligarchs, 12 companies, 17 senior government officials, 1 state-owned weapons trading company and 1 bank, as a reaction to the Salisbury attack in the UK</w:t>
            </w:r>
          </w:p>
        </w:tc>
        <w:tc>
          <w:tcPr>
            <w:tcW w:w="1134" w:type="dxa"/>
          </w:tcPr>
          <w:p w14:paraId="2BE75AF3" w14:textId="6B6A2980" w:rsid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2126" w:type="dxa"/>
          </w:tcPr>
          <w:p w14:paraId="6598F584" w14:textId="1D6CBCA4" w:rsid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 April 2018</w:t>
            </w:r>
          </w:p>
        </w:tc>
        <w:tc>
          <w:tcPr>
            <w:tcW w:w="2126" w:type="dxa"/>
          </w:tcPr>
          <w:p w14:paraId="380FAF9B" w14:textId="179054CD" w:rsid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 April 2018</w:t>
            </w:r>
          </w:p>
        </w:tc>
        <w:tc>
          <w:tcPr>
            <w:tcW w:w="3402" w:type="dxa"/>
          </w:tcPr>
          <w:p w14:paraId="4CD0A14E" w14:textId="77777777" w:rsidR="00A864F7" w:rsidRDefault="00A864F7" w:rsidP="00E269BB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14:paraId="49B159E0" w14:textId="0554A62A" w:rsidR="0051284E" w:rsidRDefault="0051284E" w:rsidP="0051284E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07C7D3B2" w14:textId="77777777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b/>
          <w:szCs w:val="22"/>
          <w:lang w:val="en-US"/>
        </w:rPr>
      </w:pPr>
    </w:p>
    <w:p w14:paraId="6284E824" w14:textId="77777777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b/>
          <w:szCs w:val="22"/>
          <w:lang w:val="en-US"/>
        </w:rPr>
      </w:pPr>
    </w:p>
    <w:p w14:paraId="3BC88774" w14:textId="1E3C95CE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lastRenderedPageBreak/>
        <w:t>NOTES:</w:t>
      </w:r>
    </w:p>
    <w:p w14:paraId="154BC8E5" w14:textId="77777777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b/>
          <w:szCs w:val="22"/>
          <w:lang w:val="en-US"/>
        </w:rPr>
      </w:pPr>
    </w:p>
    <w:p w14:paraId="59920932" w14:textId="1FCAA27E" w:rsidR="00DC15B9" w:rsidRDefault="000D61C9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  <w:r w:rsidRPr="00E80E5D">
        <w:rPr>
          <w:rFonts w:ascii="Arial" w:hAnsi="Arial" w:cs="Arial"/>
          <w:b/>
          <w:szCs w:val="22"/>
          <w:lang w:val="en-US"/>
        </w:rPr>
        <w:t>EU economic sanctions</w:t>
      </w:r>
      <w:r w:rsidRPr="00DC15B9">
        <w:rPr>
          <w:rFonts w:ascii="Arial" w:hAnsi="Arial" w:cs="Arial"/>
          <w:szCs w:val="22"/>
          <w:lang w:val="en-US"/>
        </w:rPr>
        <w:t xml:space="preserve"> against Russia are prolonged every 6 months</w:t>
      </w:r>
      <w:r w:rsidR="00DC15B9" w:rsidRPr="00DC15B9">
        <w:rPr>
          <w:rFonts w:ascii="Arial" w:hAnsi="Arial" w:cs="Arial"/>
          <w:szCs w:val="22"/>
          <w:lang w:val="en-US"/>
        </w:rPr>
        <w:t>, each time following</w:t>
      </w:r>
      <w:r w:rsidRPr="00DC15B9">
        <w:rPr>
          <w:rFonts w:ascii="Arial" w:hAnsi="Arial" w:cs="Arial"/>
          <w:szCs w:val="22"/>
          <w:lang w:val="en-US"/>
        </w:rPr>
        <w:t xml:space="preserve"> </w:t>
      </w:r>
      <w:r w:rsidR="00DC15B9" w:rsidRPr="00DC15B9">
        <w:rPr>
          <w:rFonts w:ascii="Arial" w:hAnsi="Arial" w:cs="Arial"/>
          <w:szCs w:val="22"/>
          <w:lang w:val="en-US"/>
        </w:rPr>
        <w:t>an assessment of the Minsk agreements implementation</w:t>
      </w:r>
      <w:r w:rsidR="00DC15B9">
        <w:rPr>
          <w:rFonts w:ascii="Arial" w:hAnsi="Arial" w:cs="Arial"/>
          <w:szCs w:val="22"/>
          <w:lang w:val="en-US"/>
        </w:rPr>
        <w:t xml:space="preserve">. They are currently extended until </w:t>
      </w:r>
      <w:r w:rsidR="00DC15B9" w:rsidRPr="00DC15B9">
        <w:rPr>
          <w:rFonts w:ascii="Arial" w:hAnsi="Arial" w:cs="Arial"/>
          <w:b/>
          <w:szCs w:val="22"/>
          <w:lang w:val="en-US"/>
        </w:rPr>
        <w:t>31 July 2018</w:t>
      </w:r>
      <w:r w:rsidR="00DC15B9">
        <w:rPr>
          <w:rFonts w:ascii="Arial" w:hAnsi="Arial" w:cs="Arial"/>
          <w:szCs w:val="22"/>
          <w:lang w:val="en-US"/>
        </w:rPr>
        <w:t>.</w:t>
      </w:r>
    </w:p>
    <w:p w14:paraId="0188D80C" w14:textId="4F1B15CC" w:rsidR="0011269C" w:rsidRDefault="0011269C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  <w:r w:rsidRPr="0011269C">
        <w:rPr>
          <w:rFonts w:ascii="Arial" w:hAnsi="Arial" w:cs="Arial"/>
          <w:b/>
          <w:szCs w:val="22"/>
          <w:lang w:val="en-US"/>
        </w:rPr>
        <w:t>Russian countermeasures</w:t>
      </w:r>
      <w:r>
        <w:rPr>
          <w:rFonts w:ascii="Arial" w:hAnsi="Arial" w:cs="Arial"/>
          <w:szCs w:val="22"/>
          <w:lang w:val="en-US"/>
        </w:rPr>
        <w:t xml:space="preserve"> are currently extended until </w:t>
      </w:r>
      <w:r w:rsidRPr="0011269C">
        <w:rPr>
          <w:rFonts w:ascii="Arial" w:hAnsi="Arial" w:cs="Arial"/>
          <w:b/>
          <w:szCs w:val="22"/>
          <w:lang w:val="en-US"/>
        </w:rPr>
        <w:t>31 December 2018</w:t>
      </w:r>
      <w:r>
        <w:rPr>
          <w:rFonts w:ascii="Arial" w:hAnsi="Arial" w:cs="Arial"/>
          <w:szCs w:val="22"/>
          <w:lang w:val="en-US"/>
        </w:rPr>
        <w:t>.</w:t>
      </w:r>
    </w:p>
    <w:p w14:paraId="19BAA5CA" w14:textId="4A2A30E9" w:rsidR="00E80E5D" w:rsidRPr="00DC15B9" w:rsidRDefault="00E80E5D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  <w:r w:rsidRPr="00E80E5D">
        <w:rPr>
          <w:rFonts w:ascii="Arial" w:hAnsi="Arial" w:cs="Arial"/>
          <w:b/>
          <w:szCs w:val="22"/>
          <w:lang w:val="en-US"/>
        </w:rPr>
        <w:t>US economic sanctions</w:t>
      </w:r>
      <w:r>
        <w:rPr>
          <w:rFonts w:ascii="Arial" w:hAnsi="Arial" w:cs="Arial"/>
          <w:szCs w:val="22"/>
          <w:lang w:val="en-US"/>
        </w:rPr>
        <w:t xml:space="preserve"> against Russia were extended on 2 March 2018 until </w:t>
      </w:r>
      <w:r w:rsidRPr="00E80E5D">
        <w:rPr>
          <w:rFonts w:ascii="Arial" w:hAnsi="Arial" w:cs="Arial"/>
          <w:b/>
          <w:szCs w:val="22"/>
          <w:lang w:val="en-US"/>
        </w:rPr>
        <w:t>2 March 2019</w:t>
      </w:r>
      <w:r>
        <w:rPr>
          <w:rFonts w:ascii="Arial" w:hAnsi="Arial" w:cs="Arial"/>
          <w:szCs w:val="22"/>
          <w:lang w:val="en-US"/>
        </w:rPr>
        <w:t>.</w:t>
      </w:r>
    </w:p>
    <w:p w14:paraId="0B221F49" w14:textId="1766B07E" w:rsidR="00DC15B9" w:rsidRDefault="00DC15B9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598D8732" w14:textId="25887690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7F392D47" w14:textId="4F8AFB1F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21D0B7B2" w14:textId="5F23DC90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7DD1634A" w14:textId="64DB0C0F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426A9728" w14:textId="0E35AF1A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3C8B3C8E" w14:textId="449EF1B2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20AB18E6" w14:textId="5EE70439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5F99E249" w14:textId="2D8AF3B8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46B4B495" w14:textId="1D8090B2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683BCAF6" w14:textId="58E63873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13108200" w14:textId="7B57F4E4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785AC630" w14:textId="4D7206EA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2A801301" w14:textId="0E65D898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743300C7" w14:textId="63B1D005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3786483A" w14:textId="358DAEF0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177D0D2C" w14:textId="336F1E9C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48F62767" w14:textId="2652875E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471FD8AC" w14:textId="2BC808D1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3406F498" w14:textId="09E24DAE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49CAB340" w14:textId="004B6A15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68315436" w14:textId="47787861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73AF0484" w14:textId="1C4D2FA5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582991CD" w14:textId="4DCB3C8A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08DE5686" w14:textId="77777777" w:rsidR="00212AC4" w:rsidRDefault="00212AC4" w:rsidP="00DC15B9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p w14:paraId="6919BDD5" w14:textId="48FE0A88" w:rsidR="001B6721" w:rsidRPr="000F028F" w:rsidRDefault="001633D8" w:rsidP="001B6721">
      <w:pPr>
        <w:tabs>
          <w:tab w:val="left" w:pos="5408"/>
        </w:tabs>
        <w:ind w:right="-1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b/>
          <w:sz w:val="28"/>
          <w:szCs w:val="22"/>
          <w:lang w:val="en-US"/>
        </w:rPr>
        <w:lastRenderedPageBreak/>
        <w:t>Timeline of e</w:t>
      </w:r>
      <w:r w:rsidR="001B6721" w:rsidRPr="000F028F">
        <w:rPr>
          <w:rFonts w:ascii="Arial" w:hAnsi="Arial" w:cs="Arial"/>
          <w:b/>
          <w:sz w:val="28"/>
          <w:szCs w:val="22"/>
          <w:lang w:val="en-US"/>
        </w:rPr>
        <w:t xml:space="preserve">conomic sanctions against </w:t>
      </w:r>
      <w:r w:rsidR="001B6721">
        <w:rPr>
          <w:rFonts w:ascii="Arial" w:hAnsi="Arial" w:cs="Arial"/>
          <w:b/>
          <w:sz w:val="28"/>
          <w:szCs w:val="22"/>
          <w:lang w:val="en-US"/>
        </w:rPr>
        <w:t>Iran</w:t>
      </w:r>
    </w:p>
    <w:p w14:paraId="1B947676" w14:textId="77777777" w:rsidR="001B6721" w:rsidRDefault="001B6721" w:rsidP="001B6721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80"/>
        <w:gridCol w:w="1275"/>
        <w:gridCol w:w="1985"/>
        <w:gridCol w:w="2126"/>
        <w:gridCol w:w="3402"/>
      </w:tblGrid>
      <w:tr w:rsidR="001B6721" w14:paraId="3CE1DCB5" w14:textId="77777777" w:rsidTr="008420B6">
        <w:trPr>
          <w:trHeight w:val="434"/>
        </w:trPr>
        <w:tc>
          <w:tcPr>
            <w:tcW w:w="6380" w:type="dxa"/>
            <w:shd w:val="clear" w:color="auto" w:fill="1F497D" w:themeFill="text2"/>
            <w:vAlign w:val="center"/>
          </w:tcPr>
          <w:p w14:paraId="29915DCB" w14:textId="3DA33B96" w:rsidR="001B6721" w:rsidRPr="00812D62" w:rsidRDefault="00562A63" w:rsidP="0024569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Type of s</w:t>
            </w:r>
            <w:r w:rsidR="001B6721" w:rsidRPr="00812D62"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anctions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14:paraId="48C7EED1" w14:textId="77777777" w:rsidR="001B6721" w:rsidRPr="00812D62" w:rsidRDefault="001B6721" w:rsidP="0024569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 w:rsidRPr="00812D62"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Country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14:paraId="39219900" w14:textId="77777777" w:rsidR="001B6721" w:rsidRPr="00812D62" w:rsidRDefault="001B6721" w:rsidP="0024569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 w:rsidRPr="00812D62"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Adoption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58F75D01" w14:textId="77777777" w:rsidR="001B6721" w:rsidRPr="00812D62" w:rsidRDefault="001B6721" w:rsidP="0024569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 w:rsidRPr="00812D62"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Entry into force</w:t>
            </w:r>
          </w:p>
        </w:tc>
        <w:tc>
          <w:tcPr>
            <w:tcW w:w="3402" w:type="dxa"/>
            <w:shd w:val="clear" w:color="auto" w:fill="1F497D" w:themeFill="text2"/>
            <w:vAlign w:val="center"/>
          </w:tcPr>
          <w:p w14:paraId="24B7DE8F" w14:textId="4AEBC0C8" w:rsidR="001B6721" w:rsidRPr="00812D62" w:rsidRDefault="000E3DBF" w:rsidP="0024569F">
            <w:pPr>
              <w:tabs>
                <w:tab w:val="left" w:pos="5408"/>
              </w:tabs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en-US"/>
              </w:rPr>
              <w:t>Sanctions remaining in place</w:t>
            </w:r>
          </w:p>
        </w:tc>
      </w:tr>
      <w:tr w:rsidR="001B6721" w14:paraId="2947DE23" w14:textId="77777777" w:rsidTr="008420B6">
        <w:tc>
          <w:tcPr>
            <w:tcW w:w="6380" w:type="dxa"/>
          </w:tcPr>
          <w:p w14:paraId="5D1416CB" w14:textId="79724911" w:rsidR="00DB0671" w:rsidRPr="00670A72" w:rsidRDefault="00670A72" w:rsidP="00670A7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</w:t>
            </w:r>
            <w:r w:rsidR="00DB0671">
              <w:rPr>
                <w:rFonts w:ascii="Arial" w:hAnsi="Arial" w:cs="Arial"/>
                <w:szCs w:val="22"/>
                <w:lang w:val="en-US"/>
              </w:rPr>
              <w:t>doption of the Joint Comprehensive Plan of Action (</w:t>
            </w:r>
            <w:r w:rsidR="00AE04EC">
              <w:rPr>
                <w:rFonts w:ascii="Arial" w:hAnsi="Arial" w:cs="Arial"/>
                <w:szCs w:val="22"/>
                <w:lang w:val="en-US"/>
              </w:rPr>
              <w:t xml:space="preserve">JCPOA; </w:t>
            </w:r>
            <w:r w:rsidR="00DB0671">
              <w:rPr>
                <w:rFonts w:ascii="Arial" w:hAnsi="Arial" w:cs="Arial"/>
                <w:szCs w:val="22"/>
                <w:lang w:val="en-US"/>
              </w:rPr>
              <w:t>Iran nuclear deal)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planning the lift</w:t>
            </w:r>
            <w:r w:rsidR="006177D0">
              <w:rPr>
                <w:rFonts w:ascii="Arial" w:hAnsi="Arial" w:cs="Arial"/>
                <w:szCs w:val="22"/>
                <w:lang w:val="en-US"/>
              </w:rPr>
              <w:t>ing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of sanctions</w:t>
            </w:r>
          </w:p>
        </w:tc>
        <w:tc>
          <w:tcPr>
            <w:tcW w:w="1275" w:type="dxa"/>
          </w:tcPr>
          <w:p w14:paraId="2B6FF76B" w14:textId="77777777" w:rsidR="008420B6" w:rsidRDefault="001B6721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</w:t>
            </w:r>
          </w:p>
          <w:p w14:paraId="3AF6F85A" w14:textId="77777777" w:rsidR="008420B6" w:rsidRDefault="008420B6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France</w:t>
            </w:r>
          </w:p>
          <w:p w14:paraId="3AB8EC50" w14:textId="77777777" w:rsidR="008420B6" w:rsidRDefault="008420B6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UK</w:t>
            </w:r>
          </w:p>
          <w:p w14:paraId="6B8C3F7E" w14:textId="77777777" w:rsidR="008420B6" w:rsidRDefault="008420B6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Germany</w:t>
            </w:r>
          </w:p>
          <w:p w14:paraId="798B620A" w14:textId="77777777" w:rsidR="008420B6" w:rsidRDefault="001B6721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  <w:p w14:paraId="17108781" w14:textId="77777777" w:rsidR="008420B6" w:rsidRDefault="008420B6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Russia</w:t>
            </w:r>
          </w:p>
          <w:p w14:paraId="66BB40BC" w14:textId="71BDBD35" w:rsidR="001B6721" w:rsidRDefault="008420B6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China</w:t>
            </w:r>
          </w:p>
        </w:tc>
        <w:tc>
          <w:tcPr>
            <w:tcW w:w="1985" w:type="dxa"/>
          </w:tcPr>
          <w:p w14:paraId="2A643D82" w14:textId="77777777" w:rsidR="008420B6" w:rsidRDefault="00540F5B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 October 2015</w:t>
            </w:r>
          </w:p>
          <w:p w14:paraId="38AF6814" w14:textId="1932E92D" w:rsidR="008420B6" w:rsidRDefault="007D069C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“</w:t>
            </w:r>
            <w:r w:rsidR="008420B6">
              <w:rPr>
                <w:rFonts w:ascii="Arial" w:hAnsi="Arial" w:cs="Arial"/>
                <w:szCs w:val="22"/>
                <w:lang w:val="en-US"/>
              </w:rPr>
              <w:t>Adoption Day</w:t>
            </w:r>
            <w:r>
              <w:rPr>
                <w:rFonts w:ascii="Arial" w:hAnsi="Arial" w:cs="Arial"/>
                <w:szCs w:val="22"/>
                <w:lang w:val="en-US"/>
              </w:rPr>
              <w:t>”</w:t>
            </w:r>
          </w:p>
        </w:tc>
        <w:tc>
          <w:tcPr>
            <w:tcW w:w="2126" w:type="dxa"/>
          </w:tcPr>
          <w:p w14:paraId="634211E7" w14:textId="77777777" w:rsidR="001B6721" w:rsidRDefault="001B6721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16 January 2016</w:t>
            </w:r>
          </w:p>
          <w:p w14:paraId="3C38A3CD" w14:textId="7AE15265" w:rsidR="008420B6" w:rsidRDefault="007D069C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“</w:t>
            </w:r>
            <w:r w:rsidR="008420B6">
              <w:rPr>
                <w:rFonts w:ascii="Arial" w:hAnsi="Arial" w:cs="Arial"/>
                <w:szCs w:val="22"/>
                <w:lang w:val="en-US"/>
              </w:rPr>
              <w:t>Implementation Day</w:t>
            </w:r>
            <w:r>
              <w:rPr>
                <w:rFonts w:ascii="Arial" w:hAnsi="Arial" w:cs="Arial"/>
                <w:szCs w:val="22"/>
                <w:lang w:val="en-US"/>
              </w:rPr>
              <w:t>”</w:t>
            </w:r>
          </w:p>
        </w:tc>
        <w:tc>
          <w:tcPr>
            <w:tcW w:w="3402" w:type="dxa"/>
          </w:tcPr>
          <w:p w14:paraId="63F0D5D3" w14:textId="77777777" w:rsidR="001B6721" w:rsidRPr="00F1145B" w:rsidRDefault="001B6721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0A72" w14:paraId="3886BD23" w14:textId="77777777" w:rsidTr="008420B6">
        <w:tc>
          <w:tcPr>
            <w:tcW w:w="6380" w:type="dxa"/>
            <w:shd w:val="clear" w:color="auto" w:fill="auto"/>
          </w:tcPr>
          <w:p w14:paraId="7A9D45DC" w14:textId="3D3909D4" w:rsidR="00670A72" w:rsidRDefault="008420B6" w:rsidP="00670A7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Comprehensive lifting of all UN Security Council </w:t>
            </w:r>
            <w:r w:rsidR="00670A72">
              <w:rPr>
                <w:rFonts w:ascii="Arial" w:hAnsi="Arial" w:cs="Arial"/>
                <w:szCs w:val="22"/>
                <w:lang w:val="en-US"/>
              </w:rPr>
              <w:t>sanctions</w:t>
            </w:r>
          </w:p>
        </w:tc>
        <w:tc>
          <w:tcPr>
            <w:tcW w:w="1275" w:type="dxa"/>
            <w:shd w:val="clear" w:color="auto" w:fill="auto"/>
          </w:tcPr>
          <w:p w14:paraId="7E8E0347" w14:textId="75B17612" w:rsidR="00670A72" w:rsidRDefault="00670A7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 + US</w:t>
            </w:r>
          </w:p>
        </w:tc>
        <w:tc>
          <w:tcPr>
            <w:tcW w:w="1985" w:type="dxa"/>
            <w:shd w:val="clear" w:color="auto" w:fill="auto"/>
          </w:tcPr>
          <w:p w14:paraId="2920AC76" w14:textId="3697A831" w:rsidR="00670A72" w:rsidRDefault="00670A7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 October 2015</w:t>
            </w:r>
          </w:p>
        </w:tc>
        <w:tc>
          <w:tcPr>
            <w:tcW w:w="2126" w:type="dxa"/>
            <w:shd w:val="clear" w:color="auto" w:fill="auto"/>
          </w:tcPr>
          <w:p w14:paraId="6584F379" w14:textId="4067BCEF" w:rsidR="00670A72" w:rsidRDefault="00EB5F4D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16 January 2016</w:t>
            </w:r>
          </w:p>
        </w:tc>
        <w:tc>
          <w:tcPr>
            <w:tcW w:w="3402" w:type="dxa"/>
            <w:shd w:val="clear" w:color="auto" w:fill="auto"/>
          </w:tcPr>
          <w:p w14:paraId="387D432C" w14:textId="77777777" w:rsidR="00670A72" w:rsidRPr="00F1145B" w:rsidRDefault="00670A7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0A72" w14:paraId="11ADC5D8" w14:textId="77777777" w:rsidTr="00AE04EC">
        <w:tc>
          <w:tcPr>
            <w:tcW w:w="6380" w:type="dxa"/>
          </w:tcPr>
          <w:p w14:paraId="389547A1" w14:textId="4594D0FC" w:rsidR="00670A72" w:rsidRDefault="000E3DBF" w:rsidP="00670A7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Lifting of all nuclear-related </w:t>
            </w:r>
            <w:r w:rsidR="00EB5F4D">
              <w:rPr>
                <w:rFonts w:ascii="Arial" w:hAnsi="Arial" w:cs="Arial"/>
                <w:szCs w:val="22"/>
                <w:lang w:val="en-US"/>
              </w:rPr>
              <w:t>EU</w:t>
            </w:r>
            <w:r w:rsidR="00670A72">
              <w:rPr>
                <w:rFonts w:ascii="Arial" w:hAnsi="Arial" w:cs="Arial"/>
                <w:szCs w:val="22"/>
                <w:lang w:val="en-US"/>
              </w:rPr>
              <w:t xml:space="preserve"> sanctions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0E3DBF">
              <w:rPr>
                <w:rFonts w:ascii="Arial" w:hAnsi="Arial" w:cs="Arial"/>
                <w:szCs w:val="22"/>
                <w:lang w:val="en-US"/>
              </w:rPr>
              <w:sym w:font="Wingdings" w:char="F0E0"/>
            </w:r>
            <w:r>
              <w:rPr>
                <w:rFonts w:ascii="Arial" w:hAnsi="Arial" w:cs="Arial"/>
                <w:szCs w:val="22"/>
                <w:lang w:val="en-US"/>
              </w:rPr>
              <w:t xml:space="preserve"> activities allowed</w:t>
            </w:r>
            <w:r w:rsidR="00670A72">
              <w:rPr>
                <w:rFonts w:ascii="Arial" w:hAnsi="Arial" w:cs="Arial"/>
                <w:szCs w:val="22"/>
                <w:lang w:val="en-US"/>
              </w:rPr>
              <w:t>:</w:t>
            </w:r>
          </w:p>
          <w:p w14:paraId="51E9C8EC" w14:textId="77777777" w:rsidR="00670A72" w:rsidRDefault="00670A72" w:rsidP="00670A72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Financial, banking and insurance measures</w:t>
            </w:r>
          </w:p>
          <w:p w14:paraId="10CDF2FC" w14:textId="77777777" w:rsidR="00670A72" w:rsidRDefault="00670A72" w:rsidP="00670A72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Oil, gas and petrochemical sectors</w:t>
            </w:r>
          </w:p>
          <w:p w14:paraId="47EF5A94" w14:textId="77777777" w:rsidR="00670A72" w:rsidRDefault="00670A72" w:rsidP="00670A72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Shipping, shipbuilding and transport sectors</w:t>
            </w:r>
          </w:p>
          <w:p w14:paraId="4472BFF9" w14:textId="77777777" w:rsidR="00670A72" w:rsidRDefault="00670A72" w:rsidP="00670A72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DB0671">
              <w:rPr>
                <w:rFonts w:ascii="Arial" w:hAnsi="Arial" w:cs="Arial"/>
                <w:szCs w:val="22"/>
                <w:lang w:val="en-US"/>
              </w:rPr>
              <w:t>Gold, other precious metals, banknotes and coinage</w:t>
            </w:r>
          </w:p>
          <w:p w14:paraId="013B95FE" w14:textId="77777777" w:rsidR="00670A72" w:rsidRDefault="00670A72" w:rsidP="00670A72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Nuclear proliferation-related measures</w:t>
            </w:r>
          </w:p>
          <w:p w14:paraId="65F5DF47" w14:textId="77777777" w:rsidR="00670A72" w:rsidRDefault="00670A72" w:rsidP="00670A72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Metals</w:t>
            </w:r>
          </w:p>
          <w:p w14:paraId="248394DE" w14:textId="1A8221DF" w:rsidR="00670A72" w:rsidRDefault="00670A72" w:rsidP="00670A72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Softwar</w:t>
            </w:r>
            <w:r w:rsidR="006177D0">
              <w:rPr>
                <w:rFonts w:ascii="Arial" w:hAnsi="Arial" w:cs="Arial"/>
                <w:szCs w:val="22"/>
                <w:lang w:val="en-US"/>
              </w:rPr>
              <w:t>e</w:t>
            </w:r>
          </w:p>
          <w:p w14:paraId="0D5A37D0" w14:textId="591BEB32" w:rsidR="006177D0" w:rsidRDefault="006177D0" w:rsidP="00670A72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Associated services</w:t>
            </w:r>
          </w:p>
          <w:p w14:paraId="2BED66A3" w14:textId="5D367299" w:rsidR="006177D0" w:rsidRPr="006177D0" w:rsidRDefault="000E3DBF" w:rsidP="006177D0">
            <w:pPr>
              <w:pStyle w:val="ListParagraph"/>
              <w:numPr>
                <w:ilvl w:val="0"/>
                <w:numId w:val="12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De-listing of p</w:t>
            </w:r>
            <w:r w:rsidRPr="000E3DBF">
              <w:rPr>
                <w:rFonts w:ascii="Arial" w:hAnsi="Arial" w:cs="Arial"/>
                <w:szCs w:val="22"/>
                <w:lang w:val="en-US"/>
              </w:rPr>
              <w:t xml:space="preserve">ersons, entities and bodies </w:t>
            </w:r>
            <w:r>
              <w:rPr>
                <w:rFonts w:ascii="Arial" w:hAnsi="Arial" w:cs="Arial"/>
                <w:szCs w:val="22"/>
                <w:lang w:val="en-US"/>
              </w:rPr>
              <w:t>under v</w:t>
            </w:r>
            <w:r w:rsidR="00670A72">
              <w:rPr>
                <w:rFonts w:ascii="Arial" w:hAnsi="Arial" w:cs="Arial"/>
                <w:szCs w:val="22"/>
                <w:lang w:val="en-US"/>
              </w:rPr>
              <w:t>isa bans and asset freezes</w:t>
            </w:r>
          </w:p>
        </w:tc>
        <w:tc>
          <w:tcPr>
            <w:tcW w:w="1275" w:type="dxa"/>
          </w:tcPr>
          <w:p w14:paraId="4D874458" w14:textId="64B364BE" w:rsidR="00670A72" w:rsidRDefault="00670A7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</w:t>
            </w:r>
          </w:p>
        </w:tc>
        <w:tc>
          <w:tcPr>
            <w:tcW w:w="1985" w:type="dxa"/>
          </w:tcPr>
          <w:p w14:paraId="5955C899" w14:textId="1701DA20" w:rsidR="00670A72" w:rsidRDefault="00670A7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 October 2015</w:t>
            </w:r>
          </w:p>
        </w:tc>
        <w:tc>
          <w:tcPr>
            <w:tcW w:w="2126" w:type="dxa"/>
            <w:shd w:val="clear" w:color="auto" w:fill="auto"/>
          </w:tcPr>
          <w:p w14:paraId="4AFD6D3F" w14:textId="15829B9B" w:rsidR="00AE04EC" w:rsidRDefault="00670A7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16 January 2016</w:t>
            </w:r>
          </w:p>
          <w:p w14:paraId="36B73743" w14:textId="77777777" w:rsidR="00AE04EC" w:rsidRPr="00AE04EC" w:rsidRDefault="00AE04EC" w:rsidP="00AE04EC">
            <w:pPr>
              <w:rPr>
                <w:rFonts w:ascii="Arial" w:hAnsi="Arial" w:cs="Arial"/>
                <w:szCs w:val="22"/>
                <w:lang w:val="en-US"/>
              </w:rPr>
            </w:pPr>
          </w:p>
          <w:p w14:paraId="4E985044" w14:textId="2DCFE83F" w:rsidR="00AE04EC" w:rsidRDefault="00AE04EC" w:rsidP="00AE04EC">
            <w:pPr>
              <w:rPr>
                <w:rFonts w:ascii="Arial" w:hAnsi="Arial" w:cs="Arial"/>
                <w:szCs w:val="22"/>
                <w:lang w:val="en-US"/>
              </w:rPr>
            </w:pPr>
          </w:p>
          <w:p w14:paraId="1C0D89BD" w14:textId="77777777" w:rsidR="00670A72" w:rsidRPr="00AE04EC" w:rsidRDefault="00670A72" w:rsidP="00AE04EC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C628AB8" w14:textId="77777777" w:rsidR="000E3DBF" w:rsidRDefault="000E3DBF" w:rsidP="000E3DBF">
            <w:pPr>
              <w:pStyle w:val="ListParagraph"/>
              <w:numPr>
                <w:ilvl w:val="0"/>
                <w:numId w:val="16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</w:t>
            </w:r>
            <w:r w:rsidRPr="000E3DBF">
              <w:rPr>
                <w:rFonts w:ascii="Arial" w:hAnsi="Arial" w:cs="Arial"/>
                <w:szCs w:val="22"/>
                <w:lang w:val="en-US"/>
              </w:rPr>
              <w:t>rms embargo</w:t>
            </w:r>
          </w:p>
          <w:p w14:paraId="3BDBC790" w14:textId="77777777" w:rsidR="00C447BF" w:rsidRDefault="00C447BF" w:rsidP="00C447BF">
            <w:pPr>
              <w:pStyle w:val="ListParagraph"/>
              <w:numPr>
                <w:ilvl w:val="0"/>
                <w:numId w:val="16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C447BF">
              <w:rPr>
                <w:rFonts w:ascii="Arial" w:hAnsi="Arial" w:cs="Arial"/>
                <w:szCs w:val="22"/>
                <w:lang w:val="en-US"/>
              </w:rPr>
              <w:t>Missile technology sanctions</w:t>
            </w:r>
          </w:p>
          <w:p w14:paraId="24E8B1F8" w14:textId="6AAB9D7E" w:rsidR="00670A72" w:rsidRPr="00AE04EC" w:rsidRDefault="00AE04EC" w:rsidP="00AE04EC">
            <w:pPr>
              <w:pStyle w:val="ListParagraph"/>
              <w:numPr>
                <w:ilvl w:val="0"/>
                <w:numId w:val="16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Nuclear proliferation-related sanctions </w:t>
            </w:r>
            <w:r w:rsidRPr="00AE04EC">
              <w:rPr>
                <w:rFonts w:ascii="Arial" w:hAnsi="Arial" w:cs="Arial"/>
                <w:szCs w:val="22"/>
                <w:lang w:val="en-US"/>
              </w:rPr>
              <w:sym w:font="Wingdings" w:char="F0E0"/>
            </w:r>
            <w:r>
              <w:rPr>
                <w:rFonts w:ascii="Arial" w:hAnsi="Arial" w:cs="Arial"/>
                <w:szCs w:val="22"/>
                <w:lang w:val="en-US"/>
              </w:rPr>
              <w:t xml:space="preserve"> r</w:t>
            </w:r>
            <w:r w:rsidR="000E3DBF" w:rsidRPr="00C447BF">
              <w:rPr>
                <w:rFonts w:ascii="Arial" w:hAnsi="Arial" w:cs="Arial"/>
                <w:szCs w:val="22"/>
                <w:lang w:val="en-US"/>
              </w:rPr>
              <w:t>estrictions on certain nuclear-related transfers and activities</w:t>
            </w:r>
            <w:r>
              <w:rPr>
                <w:rFonts w:ascii="Arial" w:hAnsi="Arial" w:cs="Arial"/>
                <w:szCs w:val="22"/>
                <w:lang w:val="en-US"/>
              </w:rPr>
              <w:t>, and r</w:t>
            </w:r>
            <w:r w:rsidR="00C447BF" w:rsidRPr="00AE04EC">
              <w:rPr>
                <w:rFonts w:ascii="Arial" w:hAnsi="Arial" w:cs="Arial"/>
                <w:szCs w:val="22"/>
                <w:lang w:val="en-US"/>
              </w:rPr>
              <w:t>estrictions on</w:t>
            </w:r>
            <w:r w:rsidR="000E3DBF" w:rsidRPr="00AE04EC">
              <w:rPr>
                <w:rFonts w:ascii="Arial" w:hAnsi="Arial" w:cs="Arial"/>
                <w:szCs w:val="22"/>
                <w:lang w:val="en-US"/>
              </w:rPr>
              <w:t xml:space="preserve"> certain metals and software</w:t>
            </w:r>
          </w:p>
          <w:p w14:paraId="5C6C38B6" w14:textId="4345D484" w:rsidR="00C447BF" w:rsidRDefault="00C447BF" w:rsidP="00C447BF">
            <w:pPr>
              <w:pStyle w:val="ListParagraph"/>
              <w:numPr>
                <w:ilvl w:val="0"/>
                <w:numId w:val="16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Certain p</w:t>
            </w:r>
            <w:r w:rsidRPr="000E3DBF">
              <w:rPr>
                <w:rFonts w:ascii="Arial" w:hAnsi="Arial" w:cs="Arial"/>
                <w:szCs w:val="22"/>
                <w:lang w:val="en-US"/>
              </w:rPr>
              <w:t>ersons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and</w:t>
            </w:r>
            <w:r w:rsidRPr="000E3DBF">
              <w:rPr>
                <w:rFonts w:ascii="Arial" w:hAnsi="Arial" w:cs="Arial"/>
                <w:szCs w:val="22"/>
                <w:lang w:val="en-US"/>
              </w:rPr>
              <w:t xml:space="preserve"> entities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remain under visa bans and asset freezes</w:t>
            </w:r>
          </w:p>
          <w:p w14:paraId="7754F7A7" w14:textId="14D3AE58" w:rsidR="00C447BF" w:rsidRPr="00C447BF" w:rsidRDefault="00C447BF" w:rsidP="00C447BF">
            <w:pPr>
              <w:pStyle w:val="ListParagraph"/>
              <w:numPr>
                <w:ilvl w:val="0"/>
                <w:numId w:val="16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Sanctions imposed</w:t>
            </w:r>
            <w:r w:rsidRPr="00C447BF">
              <w:rPr>
                <w:rFonts w:ascii="Arial" w:hAnsi="Arial" w:cs="Arial"/>
                <w:szCs w:val="22"/>
                <w:lang w:val="en-US"/>
              </w:rPr>
              <w:t xml:space="preserve"> in view of human rights </w:t>
            </w:r>
            <w:r w:rsidR="00E07638">
              <w:rPr>
                <w:rFonts w:ascii="Arial" w:hAnsi="Arial" w:cs="Arial"/>
                <w:szCs w:val="22"/>
                <w:lang w:val="en-US"/>
              </w:rPr>
              <w:t>abuses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and</w:t>
            </w:r>
            <w:r w:rsidRPr="00C447BF">
              <w:rPr>
                <w:rFonts w:ascii="Arial" w:hAnsi="Arial" w:cs="Arial"/>
                <w:szCs w:val="22"/>
                <w:lang w:val="en-US"/>
              </w:rPr>
              <w:t xml:space="preserve"> support for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C447BF">
              <w:rPr>
                <w:rFonts w:ascii="Arial" w:hAnsi="Arial" w:cs="Arial"/>
                <w:szCs w:val="22"/>
                <w:lang w:val="en-US"/>
              </w:rPr>
              <w:t>terrorism</w:t>
            </w:r>
          </w:p>
        </w:tc>
      </w:tr>
      <w:tr w:rsidR="00670A72" w14:paraId="41B4A3B2" w14:textId="77777777" w:rsidTr="008F20F6">
        <w:tc>
          <w:tcPr>
            <w:tcW w:w="6380" w:type="dxa"/>
          </w:tcPr>
          <w:p w14:paraId="0DC98D04" w14:textId="0CD74B6D" w:rsidR="00670A72" w:rsidRDefault="008F20F6" w:rsidP="00670A72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Lifting of </w:t>
            </w:r>
            <w:r w:rsidR="006177D0">
              <w:rPr>
                <w:rFonts w:ascii="Arial" w:hAnsi="Arial" w:cs="Arial"/>
                <w:szCs w:val="22"/>
                <w:lang w:val="en-US"/>
              </w:rPr>
              <w:t xml:space="preserve">nuclear-related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US </w:t>
            </w:r>
            <w:r w:rsidR="006177D0">
              <w:rPr>
                <w:rFonts w:ascii="Arial" w:hAnsi="Arial" w:cs="Arial"/>
                <w:szCs w:val="22"/>
                <w:lang w:val="en-US"/>
              </w:rPr>
              <w:t>secondary sanctions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F20F6">
              <w:rPr>
                <w:rFonts w:ascii="Arial" w:hAnsi="Arial" w:cs="Arial"/>
                <w:szCs w:val="22"/>
                <w:lang w:val="en-US"/>
              </w:rPr>
              <w:sym w:font="Wingdings" w:char="F0E0"/>
            </w:r>
            <w:r>
              <w:rPr>
                <w:rFonts w:ascii="Arial" w:hAnsi="Arial" w:cs="Arial"/>
                <w:szCs w:val="22"/>
                <w:lang w:val="en-US"/>
              </w:rPr>
              <w:t xml:space="preserve"> activities allowed</w:t>
            </w:r>
            <w:r w:rsidR="00670A72">
              <w:rPr>
                <w:rFonts w:ascii="Arial" w:hAnsi="Arial" w:cs="Arial"/>
                <w:szCs w:val="22"/>
                <w:lang w:val="en-US"/>
              </w:rPr>
              <w:t>:</w:t>
            </w:r>
          </w:p>
          <w:p w14:paraId="08339A03" w14:textId="77777777" w:rsidR="00670A72" w:rsidRDefault="00670A72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Financial and banking measures</w:t>
            </w:r>
          </w:p>
          <w:p w14:paraId="3EA82A79" w14:textId="77777777" w:rsidR="00670A72" w:rsidRDefault="00670A72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Insurance measures</w:t>
            </w:r>
          </w:p>
          <w:p w14:paraId="54724570" w14:textId="77777777" w:rsidR="00670A72" w:rsidRDefault="00670A72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Energy and petrochemical sectors</w:t>
            </w:r>
          </w:p>
          <w:p w14:paraId="3EDEBF97" w14:textId="77777777" w:rsidR="00670A72" w:rsidRDefault="00670A72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lastRenderedPageBreak/>
              <w:t>Shipping, shipbuilding and port sectors</w:t>
            </w:r>
          </w:p>
          <w:p w14:paraId="0268DEE6" w14:textId="77777777" w:rsidR="00670A72" w:rsidRDefault="00670A72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Gold and other precious metals</w:t>
            </w:r>
          </w:p>
          <w:p w14:paraId="0C3BC545" w14:textId="77777777" w:rsidR="00670A72" w:rsidRDefault="00670A72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Software and metals</w:t>
            </w:r>
          </w:p>
          <w:p w14:paraId="5A1B0D25" w14:textId="3E155D42" w:rsidR="006177D0" w:rsidRDefault="00670A72" w:rsidP="006177D0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Automotive sector</w:t>
            </w:r>
          </w:p>
          <w:p w14:paraId="54A77B33" w14:textId="5C2E2DEA" w:rsidR="006177D0" w:rsidRPr="006177D0" w:rsidRDefault="006177D0" w:rsidP="006177D0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Associated services</w:t>
            </w:r>
          </w:p>
          <w:p w14:paraId="318FD245" w14:textId="291AFFA5" w:rsidR="008F20F6" w:rsidRDefault="008F20F6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De-listing of p</w:t>
            </w:r>
            <w:r w:rsidRPr="000E3DBF">
              <w:rPr>
                <w:rFonts w:ascii="Arial" w:hAnsi="Arial" w:cs="Arial"/>
                <w:szCs w:val="22"/>
                <w:lang w:val="en-US"/>
              </w:rPr>
              <w:t>ersons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and</w:t>
            </w:r>
            <w:r w:rsidRPr="000E3DBF">
              <w:rPr>
                <w:rFonts w:ascii="Arial" w:hAnsi="Arial" w:cs="Arial"/>
                <w:szCs w:val="22"/>
                <w:lang w:val="en-US"/>
              </w:rPr>
              <w:t xml:space="preserve"> entities </w:t>
            </w:r>
            <w:r>
              <w:rPr>
                <w:rFonts w:ascii="Arial" w:hAnsi="Arial" w:cs="Arial"/>
                <w:szCs w:val="22"/>
                <w:lang w:val="en-US"/>
              </w:rPr>
              <w:t>under visa bans and asset freezes</w:t>
            </w:r>
            <w:r w:rsidR="00EB5A2B">
              <w:rPr>
                <w:rFonts w:ascii="Arial" w:hAnsi="Arial" w:cs="Arial"/>
                <w:szCs w:val="22"/>
                <w:lang w:val="en-US"/>
              </w:rPr>
              <w:t xml:space="preserve"> (SDN list)</w:t>
            </w:r>
          </w:p>
          <w:p w14:paraId="75E37D47" w14:textId="679DF368" w:rsidR="00670A72" w:rsidRDefault="00670A72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Nuclear proliferation-related measures</w:t>
            </w:r>
          </w:p>
          <w:p w14:paraId="334A146A" w14:textId="77777777" w:rsidR="00670A72" w:rsidRDefault="00670A72" w:rsidP="00670A72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C</w:t>
            </w:r>
            <w:r w:rsidRPr="00DB0671">
              <w:rPr>
                <w:rFonts w:ascii="Arial" w:hAnsi="Arial" w:cs="Arial"/>
                <w:szCs w:val="22"/>
                <w:lang w:val="en-US"/>
              </w:rPr>
              <w:t>ommercial passenger aircraft and related parts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B0671">
              <w:rPr>
                <w:rFonts w:ascii="Arial" w:hAnsi="Arial" w:cs="Arial"/>
                <w:szCs w:val="22"/>
                <w:lang w:val="en-US"/>
              </w:rPr>
              <w:t>and services</w:t>
            </w:r>
          </w:p>
          <w:p w14:paraId="2BC619E1" w14:textId="3CBF4F05" w:rsidR="00670A72" w:rsidRPr="00670A72" w:rsidRDefault="00670A72" w:rsidP="00DB0671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Iranian-origin carpets and foodstuffs</w:t>
            </w:r>
          </w:p>
        </w:tc>
        <w:tc>
          <w:tcPr>
            <w:tcW w:w="1275" w:type="dxa"/>
          </w:tcPr>
          <w:p w14:paraId="69DB9352" w14:textId="7C1BC1A5" w:rsidR="00670A72" w:rsidRDefault="00670A7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lastRenderedPageBreak/>
              <w:t>US</w:t>
            </w:r>
          </w:p>
        </w:tc>
        <w:tc>
          <w:tcPr>
            <w:tcW w:w="1985" w:type="dxa"/>
          </w:tcPr>
          <w:p w14:paraId="27AF8EAD" w14:textId="4F8B7FAC" w:rsidR="00670A72" w:rsidRDefault="00EB5F4D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 October 2015</w:t>
            </w:r>
          </w:p>
        </w:tc>
        <w:tc>
          <w:tcPr>
            <w:tcW w:w="2126" w:type="dxa"/>
            <w:shd w:val="clear" w:color="auto" w:fill="auto"/>
          </w:tcPr>
          <w:p w14:paraId="15014D2E" w14:textId="04ED4FA5" w:rsidR="00EB5F4D" w:rsidRPr="008F20F6" w:rsidRDefault="00862F90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8F20F6">
              <w:rPr>
                <w:rFonts w:ascii="Arial" w:hAnsi="Arial" w:cs="Arial"/>
                <w:szCs w:val="22"/>
                <w:lang w:val="en-US"/>
              </w:rPr>
              <w:t>16 January 2016</w:t>
            </w:r>
          </w:p>
          <w:p w14:paraId="2B590815" w14:textId="77777777" w:rsidR="00EB5F4D" w:rsidRPr="008F20F6" w:rsidRDefault="00EB5F4D" w:rsidP="00EB5F4D">
            <w:pPr>
              <w:rPr>
                <w:rFonts w:ascii="Arial" w:hAnsi="Arial" w:cs="Arial"/>
                <w:szCs w:val="22"/>
                <w:lang w:val="en-US"/>
              </w:rPr>
            </w:pPr>
          </w:p>
          <w:p w14:paraId="1F151136" w14:textId="1197DC88" w:rsidR="00EB5F4D" w:rsidRPr="008F20F6" w:rsidRDefault="00EB5F4D" w:rsidP="00EB5F4D">
            <w:pPr>
              <w:rPr>
                <w:rFonts w:ascii="Arial" w:hAnsi="Arial" w:cs="Arial"/>
                <w:szCs w:val="22"/>
                <w:lang w:val="en-US"/>
              </w:rPr>
            </w:pPr>
          </w:p>
          <w:p w14:paraId="09F40B27" w14:textId="77777777" w:rsidR="00670A72" w:rsidRPr="008F20F6" w:rsidRDefault="00670A72" w:rsidP="00EB5F4D">
            <w:pPr>
              <w:ind w:firstLine="425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EE4B6AC" w14:textId="62D28703" w:rsidR="006177D0" w:rsidRDefault="006177D0" w:rsidP="006177D0">
            <w:pPr>
              <w:pStyle w:val="ListParagraph"/>
              <w:numPr>
                <w:ilvl w:val="0"/>
                <w:numId w:val="19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 domestic trade embargo</w:t>
            </w:r>
          </w:p>
          <w:p w14:paraId="37DC055E" w14:textId="77777777" w:rsidR="006177D0" w:rsidRDefault="006177D0" w:rsidP="006177D0">
            <w:pPr>
              <w:pStyle w:val="ListParagraph"/>
              <w:numPr>
                <w:ilvl w:val="0"/>
                <w:numId w:val="19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</w:rPr>
            </w:pPr>
            <w:r w:rsidRPr="006177D0">
              <w:rPr>
                <w:rFonts w:ascii="Arial" w:hAnsi="Arial" w:cs="Arial"/>
                <w:szCs w:val="22"/>
              </w:rPr>
              <w:t>Restrictions on transactions or dealing</w:t>
            </w:r>
            <w:r>
              <w:rPr>
                <w:rFonts w:ascii="Arial" w:hAnsi="Arial" w:cs="Arial"/>
                <w:szCs w:val="22"/>
              </w:rPr>
              <w:t>s with the government of Iran and Iranian financial institutions</w:t>
            </w:r>
          </w:p>
          <w:p w14:paraId="5E81091D" w14:textId="63F70930" w:rsidR="006177D0" w:rsidRPr="006177D0" w:rsidRDefault="006177D0" w:rsidP="006177D0">
            <w:pPr>
              <w:pStyle w:val="ListParagraph"/>
              <w:numPr>
                <w:ilvl w:val="0"/>
                <w:numId w:val="19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lastRenderedPageBreak/>
              <w:t>Certain p</w:t>
            </w:r>
            <w:r w:rsidRPr="000E3DBF">
              <w:rPr>
                <w:rFonts w:ascii="Arial" w:hAnsi="Arial" w:cs="Arial"/>
                <w:szCs w:val="22"/>
                <w:lang w:val="en-US"/>
              </w:rPr>
              <w:t>ersons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and</w:t>
            </w:r>
            <w:r w:rsidRPr="000E3DBF">
              <w:rPr>
                <w:rFonts w:ascii="Arial" w:hAnsi="Arial" w:cs="Arial"/>
                <w:szCs w:val="22"/>
                <w:lang w:val="en-US"/>
              </w:rPr>
              <w:t xml:space="preserve"> entities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remain under visa bans and asset freezes</w:t>
            </w:r>
            <w:r w:rsidR="00EB5A2B">
              <w:rPr>
                <w:rFonts w:ascii="Arial" w:hAnsi="Arial" w:cs="Arial"/>
                <w:szCs w:val="22"/>
                <w:lang w:val="en-US"/>
              </w:rPr>
              <w:t xml:space="preserve"> (SDN list)</w:t>
            </w:r>
          </w:p>
          <w:p w14:paraId="6DFA9861" w14:textId="7E675DA9" w:rsidR="00670A72" w:rsidRPr="006177D0" w:rsidRDefault="00E07638" w:rsidP="006177D0">
            <w:pPr>
              <w:pStyle w:val="ListParagraph"/>
              <w:numPr>
                <w:ilvl w:val="0"/>
                <w:numId w:val="19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</w:rPr>
            </w:pPr>
            <w:r w:rsidRPr="006177D0">
              <w:rPr>
                <w:rFonts w:ascii="Arial" w:hAnsi="Arial" w:cs="Arial"/>
                <w:szCs w:val="22"/>
                <w:lang w:val="en-US"/>
              </w:rPr>
              <w:t>Sanctions imposed in view of Iran’s support for terrorism, ballistic missile program, human rights abuses and destabilizing activity in the region</w:t>
            </w:r>
          </w:p>
        </w:tc>
      </w:tr>
      <w:tr w:rsidR="00670A72" w14:paraId="3966F571" w14:textId="77777777" w:rsidTr="00EB5A2B">
        <w:tc>
          <w:tcPr>
            <w:tcW w:w="6380" w:type="dxa"/>
            <w:shd w:val="clear" w:color="auto" w:fill="auto"/>
          </w:tcPr>
          <w:p w14:paraId="77BA58A1" w14:textId="57C853F2" w:rsidR="00670A72" w:rsidRDefault="006E31A2" w:rsidP="00DB067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lastRenderedPageBreak/>
              <w:t>U</w:t>
            </w:r>
            <w:r w:rsidR="00862F90">
              <w:rPr>
                <w:rFonts w:ascii="Arial" w:hAnsi="Arial" w:cs="Arial"/>
                <w:szCs w:val="22"/>
                <w:lang w:val="en-US"/>
              </w:rPr>
              <w:t>nder the “</w:t>
            </w:r>
            <w:r w:rsidR="00862F90" w:rsidRPr="00777B5C">
              <w:rPr>
                <w:rFonts w:ascii="Arial" w:hAnsi="Arial" w:cs="Arial"/>
                <w:szCs w:val="22"/>
                <w:lang w:val="en-US"/>
              </w:rPr>
              <w:t>Countering America’s adversaries through sanctions Act</w:t>
            </w:r>
            <w:r w:rsidR="00862F90">
              <w:rPr>
                <w:rFonts w:ascii="Arial" w:hAnsi="Arial" w:cs="Arial"/>
                <w:szCs w:val="22"/>
                <w:lang w:val="en-US"/>
              </w:rPr>
              <w:t>”</w:t>
            </w:r>
            <w:r>
              <w:rPr>
                <w:rFonts w:ascii="Arial" w:hAnsi="Arial" w:cs="Arial"/>
                <w:szCs w:val="22"/>
                <w:lang w:val="en-US"/>
              </w:rPr>
              <w:t xml:space="preserve">, </w:t>
            </w:r>
            <w:r w:rsidRPr="006E31A2">
              <w:rPr>
                <w:rFonts w:ascii="Arial" w:hAnsi="Arial" w:cs="Arial"/>
                <w:szCs w:val="22"/>
                <w:lang w:val="en-US"/>
              </w:rPr>
              <w:t xml:space="preserve">expansion of </w:t>
            </w:r>
            <w:r w:rsidR="00031B7E">
              <w:rPr>
                <w:rFonts w:ascii="Arial" w:hAnsi="Arial" w:cs="Arial"/>
                <w:szCs w:val="22"/>
                <w:lang w:val="en-US"/>
              </w:rPr>
              <w:t xml:space="preserve">US </w:t>
            </w:r>
            <w:r w:rsidRPr="006E31A2">
              <w:rPr>
                <w:rFonts w:ascii="Arial" w:hAnsi="Arial" w:cs="Arial"/>
                <w:szCs w:val="22"/>
                <w:lang w:val="en-US"/>
              </w:rPr>
              <w:t>secondary sanctions against Iranian military activi</w:t>
            </w:r>
            <w:r w:rsidR="00EB5F4D">
              <w:rPr>
                <w:rFonts w:ascii="Arial" w:hAnsi="Arial" w:cs="Arial"/>
                <w:szCs w:val="22"/>
                <w:lang w:val="en-US"/>
              </w:rPr>
              <w:t xml:space="preserve">ties, </w:t>
            </w:r>
            <w:r w:rsidR="00EB5F4D" w:rsidRPr="006E31A2">
              <w:rPr>
                <w:rFonts w:ascii="Arial" w:hAnsi="Arial" w:cs="Arial"/>
                <w:szCs w:val="22"/>
                <w:lang w:val="en-US"/>
              </w:rPr>
              <w:t>ballistic missile program and support for terrorism</w:t>
            </w:r>
            <w:r w:rsidR="00EB5F4D">
              <w:rPr>
                <w:rFonts w:ascii="Arial" w:hAnsi="Arial" w:cs="Arial"/>
                <w:szCs w:val="22"/>
                <w:lang w:val="en-US"/>
              </w:rPr>
              <w:t>,</w:t>
            </w:r>
            <w:r w:rsidRPr="006E31A2">
              <w:rPr>
                <w:rFonts w:ascii="Arial" w:hAnsi="Arial" w:cs="Arial"/>
                <w:szCs w:val="22"/>
                <w:lang w:val="en-US"/>
              </w:rPr>
              <w:t xml:space="preserve"> and sharpen focus on the Iranian Revolutionary Guard Corps and its affiliates</w:t>
            </w:r>
          </w:p>
        </w:tc>
        <w:tc>
          <w:tcPr>
            <w:tcW w:w="1275" w:type="dxa"/>
            <w:shd w:val="clear" w:color="auto" w:fill="auto"/>
          </w:tcPr>
          <w:p w14:paraId="42E708A8" w14:textId="62958707" w:rsidR="00670A72" w:rsidRDefault="00862F90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1985" w:type="dxa"/>
            <w:shd w:val="clear" w:color="auto" w:fill="auto"/>
          </w:tcPr>
          <w:p w14:paraId="3443EBB9" w14:textId="39320198" w:rsidR="00670A72" w:rsidRDefault="006E31A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 August 2017</w:t>
            </w:r>
          </w:p>
        </w:tc>
        <w:tc>
          <w:tcPr>
            <w:tcW w:w="2126" w:type="dxa"/>
            <w:shd w:val="clear" w:color="auto" w:fill="auto"/>
          </w:tcPr>
          <w:p w14:paraId="2CB6F81E" w14:textId="143CE95E" w:rsidR="00670A72" w:rsidRDefault="00EB5F4D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August 2017</w:t>
            </w:r>
          </w:p>
        </w:tc>
        <w:tc>
          <w:tcPr>
            <w:tcW w:w="3402" w:type="dxa"/>
            <w:shd w:val="clear" w:color="auto" w:fill="auto"/>
          </w:tcPr>
          <w:p w14:paraId="02595D8F" w14:textId="77777777" w:rsidR="00670A72" w:rsidRPr="00F1145B" w:rsidRDefault="00670A72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B6721" w14:paraId="69F5DF74" w14:textId="77777777" w:rsidTr="008F20F6">
        <w:tc>
          <w:tcPr>
            <w:tcW w:w="6380" w:type="dxa"/>
            <w:shd w:val="clear" w:color="auto" w:fill="auto"/>
          </w:tcPr>
          <w:p w14:paraId="2DDEA418" w14:textId="7BF361AD" w:rsidR="00617A5B" w:rsidRPr="008F20F6" w:rsidRDefault="00B8745B" w:rsidP="008F20F6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 w</w:t>
            </w:r>
            <w:r w:rsidR="00540F5B">
              <w:rPr>
                <w:rFonts w:ascii="Arial" w:hAnsi="Arial" w:cs="Arial"/>
                <w:szCs w:val="22"/>
                <w:lang w:val="en-US"/>
              </w:rPr>
              <w:t xml:space="preserve">ithdrawal from the </w:t>
            </w:r>
            <w:r w:rsidR="00AE04EC">
              <w:rPr>
                <w:rFonts w:ascii="Arial" w:hAnsi="Arial" w:cs="Arial"/>
                <w:szCs w:val="22"/>
                <w:lang w:val="en-US"/>
              </w:rPr>
              <w:t>JCPOA</w:t>
            </w:r>
            <w:r w:rsidR="00617A5B">
              <w:rPr>
                <w:rFonts w:ascii="Arial" w:hAnsi="Arial" w:cs="Arial"/>
                <w:szCs w:val="22"/>
                <w:lang w:val="en-US"/>
              </w:rPr>
              <w:t xml:space="preserve"> and non-renewal of waivers on sanctions</w:t>
            </w:r>
            <w:r w:rsidR="008F20F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8F20F6" w:rsidRPr="008F20F6">
              <w:rPr>
                <w:rFonts w:ascii="Arial" w:hAnsi="Arial" w:cs="Arial"/>
                <w:szCs w:val="22"/>
                <w:lang w:val="en-US"/>
              </w:rPr>
              <w:sym w:font="Wingdings" w:char="F0E0"/>
            </w:r>
            <w:r w:rsidR="008F20F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8F20F6" w:rsidRPr="008F20F6">
              <w:rPr>
                <w:rFonts w:ascii="Arial" w:hAnsi="Arial" w:cs="Arial"/>
                <w:szCs w:val="22"/>
                <w:lang w:val="en-US"/>
              </w:rPr>
              <w:t>90-day and 180-day wind-down periods for activities involving Iran</w:t>
            </w:r>
          </w:p>
        </w:tc>
        <w:tc>
          <w:tcPr>
            <w:tcW w:w="1275" w:type="dxa"/>
          </w:tcPr>
          <w:p w14:paraId="5149E5AA" w14:textId="661894DD" w:rsidR="001B6721" w:rsidRDefault="00540F5B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1985" w:type="dxa"/>
          </w:tcPr>
          <w:p w14:paraId="1AFC8666" w14:textId="34442D8B" w:rsidR="001B6721" w:rsidRDefault="00540F5B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 May 2018</w:t>
            </w:r>
          </w:p>
        </w:tc>
        <w:tc>
          <w:tcPr>
            <w:tcW w:w="2126" w:type="dxa"/>
            <w:shd w:val="clear" w:color="auto" w:fill="auto"/>
          </w:tcPr>
          <w:p w14:paraId="64BCB026" w14:textId="4C9FBCBF" w:rsidR="001B6721" w:rsidRDefault="008F20F6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</w:t>
            </w:r>
            <w:r w:rsidR="00617A5B">
              <w:rPr>
                <w:rFonts w:ascii="Arial" w:hAnsi="Arial" w:cs="Arial"/>
                <w:szCs w:val="22"/>
                <w:lang w:val="en-US"/>
              </w:rPr>
              <w:t xml:space="preserve"> August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and 4 </w:t>
            </w:r>
            <w:r w:rsidR="00617A5B">
              <w:rPr>
                <w:rFonts w:ascii="Arial" w:hAnsi="Arial" w:cs="Arial"/>
                <w:szCs w:val="22"/>
                <w:lang w:val="en-US"/>
              </w:rPr>
              <w:t>November 2018</w:t>
            </w:r>
          </w:p>
        </w:tc>
        <w:tc>
          <w:tcPr>
            <w:tcW w:w="3402" w:type="dxa"/>
          </w:tcPr>
          <w:p w14:paraId="35BE8B61" w14:textId="77777777" w:rsidR="001B6721" w:rsidRPr="00F1145B" w:rsidRDefault="001B6721" w:rsidP="001B6721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20258" w14:paraId="27B2A1E8" w14:textId="77777777" w:rsidTr="008F20F6">
        <w:tc>
          <w:tcPr>
            <w:tcW w:w="6380" w:type="dxa"/>
            <w:shd w:val="clear" w:color="auto" w:fill="auto"/>
          </w:tcPr>
          <w:p w14:paraId="4CC61032" w14:textId="77777777" w:rsidR="007674B4" w:rsidRDefault="00020258" w:rsidP="00031B7E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Revision of the EU Blocking Statute Regulation:</w:t>
            </w:r>
            <w:r w:rsidR="00031B7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031B7E">
              <w:rPr>
                <w:rFonts w:ascii="Arial" w:hAnsi="Arial" w:cs="Arial"/>
                <w:szCs w:val="22"/>
                <w:lang w:val="en-US"/>
              </w:rPr>
              <w:t>launch of the formal process</w:t>
            </w:r>
            <w:r w:rsidR="00031B7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031B7E">
              <w:rPr>
                <w:rFonts w:ascii="Arial" w:hAnsi="Arial" w:cs="Arial"/>
                <w:szCs w:val="22"/>
                <w:lang w:val="en-US"/>
              </w:rPr>
              <w:t xml:space="preserve">to activate the Blocking Statute by updating the list of US sanctions on Iran falling within its scope </w:t>
            </w:r>
          </w:p>
          <w:p w14:paraId="6188B252" w14:textId="54D5A46A" w:rsidR="00031B7E" w:rsidRPr="00031B7E" w:rsidRDefault="007674B4" w:rsidP="00031B7E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Other measures: </w:t>
            </w:r>
            <w:r w:rsidR="00020258" w:rsidRPr="00031B7E">
              <w:rPr>
                <w:rFonts w:ascii="Arial" w:hAnsi="Arial" w:cs="Arial"/>
                <w:szCs w:val="22"/>
                <w:lang w:val="en-US"/>
              </w:rPr>
              <w:t>removing obstacles for the European Investment Bank to support investment in Iran</w:t>
            </w:r>
          </w:p>
        </w:tc>
        <w:tc>
          <w:tcPr>
            <w:tcW w:w="1275" w:type="dxa"/>
          </w:tcPr>
          <w:p w14:paraId="542DDB6A" w14:textId="042C1AEE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</w:t>
            </w:r>
          </w:p>
        </w:tc>
        <w:tc>
          <w:tcPr>
            <w:tcW w:w="1985" w:type="dxa"/>
          </w:tcPr>
          <w:p w14:paraId="25262D65" w14:textId="77777777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 June 2018</w:t>
            </w:r>
          </w:p>
          <w:p w14:paraId="7E47535C" w14:textId="73562B44" w:rsidR="00031B7E" w:rsidRDefault="00031B7E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Commission Delegated Regulation</w:t>
            </w:r>
          </w:p>
        </w:tc>
        <w:tc>
          <w:tcPr>
            <w:tcW w:w="2126" w:type="dxa"/>
            <w:shd w:val="clear" w:color="auto" w:fill="auto"/>
          </w:tcPr>
          <w:p w14:paraId="1155F92B" w14:textId="531FE3D8" w:rsidR="00020258" w:rsidRDefault="00031B7E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2-month period before the entry into force (6 August 2018 at the latest) during which the European Parliament and the Council can object to these measures</w:t>
            </w:r>
          </w:p>
        </w:tc>
        <w:tc>
          <w:tcPr>
            <w:tcW w:w="3402" w:type="dxa"/>
          </w:tcPr>
          <w:p w14:paraId="2A44AD21" w14:textId="77777777" w:rsidR="00020258" w:rsidRPr="00F1145B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20258" w14:paraId="1641E3C2" w14:textId="77777777" w:rsidTr="008420B6">
        <w:tc>
          <w:tcPr>
            <w:tcW w:w="6380" w:type="dxa"/>
          </w:tcPr>
          <w:p w14:paraId="376D6E62" w14:textId="0BCE3FE6" w:rsidR="00020258" w:rsidRDefault="00031B7E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 s</w:t>
            </w:r>
            <w:r w:rsidR="00020258">
              <w:rPr>
                <w:rFonts w:ascii="Arial" w:hAnsi="Arial" w:cs="Arial"/>
                <w:szCs w:val="22"/>
                <w:lang w:val="en-US"/>
              </w:rPr>
              <w:t>anctions re-imposed after the 90-day wind-down period:</w:t>
            </w:r>
          </w:p>
          <w:p w14:paraId="6381D2D9" w14:textId="4B6E4FDD" w:rsidR="00020258" w:rsidRPr="00E44DB2" w:rsidRDefault="00020258" w:rsidP="00020258">
            <w:pPr>
              <w:pStyle w:val="ListParagraph"/>
              <w:numPr>
                <w:ilvl w:val="0"/>
                <w:numId w:val="17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8F20F6">
              <w:rPr>
                <w:rFonts w:ascii="Arial" w:hAnsi="Arial" w:cs="Arial"/>
                <w:szCs w:val="22"/>
                <w:lang w:val="en-US"/>
              </w:rPr>
              <w:t>Sanctions on the purchase or acquisition of U</w:t>
            </w:r>
            <w:r>
              <w:rPr>
                <w:rFonts w:ascii="Arial" w:hAnsi="Arial" w:cs="Arial"/>
                <w:szCs w:val="22"/>
                <w:lang w:val="en-US"/>
              </w:rPr>
              <w:t xml:space="preserve">SD </w:t>
            </w:r>
            <w:r w:rsidRPr="00E44DB2">
              <w:rPr>
                <w:rFonts w:ascii="Arial" w:hAnsi="Arial" w:cs="Arial"/>
                <w:szCs w:val="22"/>
                <w:lang w:val="en-US"/>
              </w:rPr>
              <w:t xml:space="preserve">banknotes by the </w:t>
            </w:r>
            <w:r>
              <w:rPr>
                <w:rFonts w:ascii="Arial" w:hAnsi="Arial" w:cs="Arial"/>
                <w:szCs w:val="22"/>
                <w:lang w:val="en-US"/>
              </w:rPr>
              <w:t>g</w:t>
            </w:r>
            <w:r w:rsidRPr="00E44DB2">
              <w:rPr>
                <w:rFonts w:ascii="Arial" w:hAnsi="Arial" w:cs="Arial"/>
                <w:szCs w:val="22"/>
                <w:lang w:val="en-US"/>
              </w:rPr>
              <w:t>overnment of Iran</w:t>
            </w:r>
          </w:p>
          <w:p w14:paraId="6D3457BD" w14:textId="03373953" w:rsidR="00020258" w:rsidRPr="008F20F6" w:rsidRDefault="00020258" w:rsidP="00020258">
            <w:pPr>
              <w:pStyle w:val="ListParagraph"/>
              <w:numPr>
                <w:ilvl w:val="0"/>
                <w:numId w:val="17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8F20F6">
              <w:rPr>
                <w:rFonts w:ascii="Arial" w:hAnsi="Arial" w:cs="Arial"/>
                <w:szCs w:val="22"/>
                <w:lang w:val="en-US"/>
              </w:rPr>
              <w:lastRenderedPageBreak/>
              <w:t>Sanctions on Iran’s trade in gold or precious metals</w:t>
            </w:r>
          </w:p>
          <w:p w14:paraId="677CDDB5" w14:textId="3B92C6C8" w:rsidR="00020258" w:rsidRPr="00E44DB2" w:rsidRDefault="00020258" w:rsidP="00020258">
            <w:pPr>
              <w:pStyle w:val="ListParagraph"/>
              <w:numPr>
                <w:ilvl w:val="0"/>
                <w:numId w:val="17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8F20F6">
              <w:rPr>
                <w:rFonts w:ascii="Arial" w:hAnsi="Arial" w:cs="Arial"/>
                <w:szCs w:val="22"/>
                <w:lang w:val="en-US"/>
              </w:rPr>
              <w:t>Sanctions on the direct or indirect sale, supply, or transfer to or from Iran of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graphite, raw, or semi-finished metals such as aluminum and steel, coal, and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software for integrating industrial processes</w:t>
            </w:r>
          </w:p>
          <w:p w14:paraId="55740BD2" w14:textId="2AA81E95" w:rsidR="00020258" w:rsidRPr="00E44DB2" w:rsidRDefault="00020258" w:rsidP="00020258">
            <w:pPr>
              <w:pStyle w:val="ListParagraph"/>
              <w:numPr>
                <w:ilvl w:val="0"/>
                <w:numId w:val="17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8F20F6">
              <w:rPr>
                <w:rFonts w:ascii="Arial" w:hAnsi="Arial" w:cs="Arial"/>
                <w:szCs w:val="22"/>
                <w:lang w:val="en-US"/>
              </w:rPr>
              <w:t>Sanctions on significant transactions related to the purchase or sale of Iranian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E44DB2">
              <w:rPr>
                <w:rFonts w:ascii="Arial" w:hAnsi="Arial" w:cs="Arial"/>
                <w:szCs w:val="22"/>
                <w:lang w:val="en-US"/>
              </w:rPr>
              <w:t>rials</w:t>
            </w:r>
            <w:proofErr w:type="spellEnd"/>
            <w:r w:rsidRPr="00E44DB2">
              <w:rPr>
                <w:rFonts w:ascii="Arial" w:hAnsi="Arial" w:cs="Arial"/>
                <w:szCs w:val="22"/>
                <w:lang w:val="en-US"/>
              </w:rPr>
              <w:t>, or the maintenance of significant funds or accounts outside the territory of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 xml:space="preserve">Iran denominated in the Iranian </w:t>
            </w:r>
            <w:proofErr w:type="spellStart"/>
            <w:r w:rsidRPr="00E44DB2">
              <w:rPr>
                <w:rFonts w:ascii="Arial" w:hAnsi="Arial" w:cs="Arial"/>
                <w:szCs w:val="22"/>
                <w:lang w:val="en-US"/>
              </w:rPr>
              <w:t>rial</w:t>
            </w:r>
            <w:proofErr w:type="spellEnd"/>
          </w:p>
          <w:p w14:paraId="09F1B560" w14:textId="42B8BDA8" w:rsidR="00020258" w:rsidRPr="00E44DB2" w:rsidRDefault="00020258" w:rsidP="00020258">
            <w:pPr>
              <w:pStyle w:val="ListParagraph"/>
              <w:numPr>
                <w:ilvl w:val="0"/>
                <w:numId w:val="17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8F20F6">
              <w:rPr>
                <w:rFonts w:ascii="Arial" w:hAnsi="Arial" w:cs="Arial"/>
                <w:szCs w:val="22"/>
                <w:lang w:val="en-US"/>
              </w:rPr>
              <w:t>Sanctions on the purchase, subscription to, or facilitation of the issuance of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Iranian sovereign debt</w:t>
            </w:r>
          </w:p>
          <w:p w14:paraId="79130BBE" w14:textId="77777777" w:rsidR="00020258" w:rsidRDefault="00020258" w:rsidP="00020258">
            <w:pPr>
              <w:pStyle w:val="ListParagraph"/>
              <w:numPr>
                <w:ilvl w:val="0"/>
                <w:numId w:val="17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fr-FR"/>
              </w:rPr>
            </w:pPr>
            <w:r w:rsidRPr="008F20F6">
              <w:rPr>
                <w:rFonts w:ascii="Arial" w:hAnsi="Arial" w:cs="Arial"/>
                <w:szCs w:val="22"/>
                <w:lang w:val="fr-FR"/>
              </w:rPr>
              <w:t xml:space="preserve">Sanctions on </w:t>
            </w:r>
            <w:proofErr w:type="spellStart"/>
            <w:r w:rsidRPr="008F20F6">
              <w:rPr>
                <w:rFonts w:ascii="Arial" w:hAnsi="Arial" w:cs="Arial"/>
                <w:szCs w:val="22"/>
                <w:lang w:val="fr-FR"/>
              </w:rPr>
              <w:t>Iran’s</w:t>
            </w:r>
            <w:proofErr w:type="spellEnd"/>
            <w:r w:rsidRPr="008F20F6">
              <w:rPr>
                <w:rFonts w:ascii="Arial" w:hAnsi="Arial" w:cs="Arial"/>
                <w:szCs w:val="22"/>
                <w:lang w:val="fr-FR"/>
              </w:rPr>
              <w:t xml:space="preserve"> automotive </w:t>
            </w:r>
            <w:proofErr w:type="spellStart"/>
            <w:r w:rsidRPr="008F20F6">
              <w:rPr>
                <w:rFonts w:ascii="Arial" w:hAnsi="Arial" w:cs="Arial"/>
                <w:szCs w:val="22"/>
                <w:lang w:val="fr-FR"/>
              </w:rPr>
              <w:t>sector</w:t>
            </w:r>
            <w:proofErr w:type="spellEnd"/>
          </w:p>
          <w:p w14:paraId="2E8F4832" w14:textId="77777777" w:rsidR="00020258" w:rsidRPr="00E44DB2" w:rsidRDefault="00020258" w:rsidP="00020258">
            <w:pPr>
              <w:pStyle w:val="ListParagraph"/>
              <w:numPr>
                <w:ilvl w:val="0"/>
                <w:numId w:val="17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</w:rPr>
            </w:pPr>
            <w:r w:rsidRPr="00E44DB2">
              <w:rPr>
                <w:rFonts w:ascii="Arial" w:hAnsi="Arial" w:cs="Arial"/>
                <w:szCs w:val="22"/>
              </w:rPr>
              <w:t xml:space="preserve">Sanctions on import of </w:t>
            </w:r>
            <w:r>
              <w:rPr>
                <w:rFonts w:ascii="Arial" w:hAnsi="Arial" w:cs="Arial"/>
                <w:szCs w:val="22"/>
                <w:lang w:val="en-US"/>
              </w:rPr>
              <w:t>Iranian-origin carpets and foodstuffs</w:t>
            </w:r>
          </w:p>
          <w:p w14:paraId="75E40281" w14:textId="00113AD7" w:rsidR="00020258" w:rsidRPr="00E44DB2" w:rsidRDefault="00020258" w:rsidP="00020258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 xml:space="preserve">Sanctions on activities related to </w:t>
            </w:r>
            <w:r>
              <w:rPr>
                <w:rFonts w:ascii="Arial" w:hAnsi="Arial" w:cs="Arial"/>
                <w:szCs w:val="22"/>
                <w:lang w:val="en-US"/>
              </w:rPr>
              <w:t>c</w:t>
            </w:r>
            <w:r w:rsidRPr="00DB0671">
              <w:rPr>
                <w:rFonts w:ascii="Arial" w:hAnsi="Arial" w:cs="Arial"/>
                <w:szCs w:val="22"/>
                <w:lang w:val="en-US"/>
              </w:rPr>
              <w:t>ommercial passenger aircraft and related parts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B0671">
              <w:rPr>
                <w:rFonts w:ascii="Arial" w:hAnsi="Arial" w:cs="Arial"/>
                <w:szCs w:val="22"/>
                <w:lang w:val="en-US"/>
              </w:rPr>
              <w:t>and services</w:t>
            </w:r>
          </w:p>
        </w:tc>
        <w:tc>
          <w:tcPr>
            <w:tcW w:w="1275" w:type="dxa"/>
          </w:tcPr>
          <w:p w14:paraId="4741168F" w14:textId="2B5DC018" w:rsidR="00020258" w:rsidRPr="00BC549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lastRenderedPageBreak/>
              <w:t>US</w:t>
            </w:r>
          </w:p>
        </w:tc>
        <w:tc>
          <w:tcPr>
            <w:tcW w:w="1985" w:type="dxa"/>
          </w:tcPr>
          <w:p w14:paraId="270B43FE" w14:textId="595A5F19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63C2B28" w14:textId="0FD3D80A" w:rsidR="00020258" w:rsidRPr="00AC3EC1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 August 2018</w:t>
            </w:r>
          </w:p>
        </w:tc>
        <w:tc>
          <w:tcPr>
            <w:tcW w:w="3402" w:type="dxa"/>
          </w:tcPr>
          <w:p w14:paraId="7D508D19" w14:textId="77777777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20258" w14:paraId="52970AD2" w14:textId="77777777" w:rsidTr="008420B6">
        <w:tc>
          <w:tcPr>
            <w:tcW w:w="6380" w:type="dxa"/>
          </w:tcPr>
          <w:p w14:paraId="357B402D" w14:textId="2E27871A" w:rsidR="00020258" w:rsidRDefault="00031B7E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</w:t>
            </w:r>
            <w:r w:rsidR="00020258">
              <w:rPr>
                <w:rFonts w:ascii="Arial" w:hAnsi="Arial" w:cs="Arial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s</w:t>
            </w:r>
            <w:r w:rsidR="00020258">
              <w:rPr>
                <w:rFonts w:ascii="Arial" w:hAnsi="Arial" w:cs="Arial"/>
                <w:szCs w:val="22"/>
                <w:lang w:val="en-US"/>
              </w:rPr>
              <w:t>anctions re-imposed after the 180-day wind-down period:</w:t>
            </w:r>
          </w:p>
          <w:p w14:paraId="504180C6" w14:textId="46357A1D" w:rsidR="00020258" w:rsidRPr="00E44DB2" w:rsidRDefault="00020258" w:rsidP="00020258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E44DB2">
              <w:rPr>
                <w:rFonts w:ascii="Arial" w:hAnsi="Arial" w:cs="Arial"/>
                <w:szCs w:val="22"/>
                <w:lang w:val="en-US"/>
              </w:rPr>
              <w:t>Sanctions on Iran’s port operators, and shipping and shipbuilding sectors,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including on the Islamic Republic of Iran Shipping Lines (IRISL), South Shipping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Line Iran, or their affiliates</w:t>
            </w:r>
          </w:p>
          <w:p w14:paraId="209CFACF" w14:textId="081C0600" w:rsidR="00020258" w:rsidRPr="00E44DB2" w:rsidRDefault="00020258" w:rsidP="00020258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E44DB2">
              <w:rPr>
                <w:rFonts w:ascii="Arial" w:hAnsi="Arial" w:cs="Arial"/>
                <w:szCs w:val="22"/>
                <w:lang w:val="en-US"/>
              </w:rPr>
              <w:t xml:space="preserve">Sanctions on petroleum-related transactions with, among others, the National Iranian Oil Company (NIOC), </w:t>
            </w:r>
            <w:proofErr w:type="spellStart"/>
            <w:r w:rsidRPr="00E44DB2">
              <w:rPr>
                <w:rFonts w:ascii="Arial" w:hAnsi="Arial" w:cs="Arial"/>
                <w:szCs w:val="22"/>
                <w:lang w:val="en-US"/>
              </w:rPr>
              <w:t>Naftiran</w:t>
            </w:r>
            <w:proofErr w:type="spellEnd"/>
            <w:r w:rsidRPr="00E44DB2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E44DB2">
              <w:rPr>
                <w:rFonts w:ascii="Arial" w:hAnsi="Arial" w:cs="Arial"/>
                <w:szCs w:val="22"/>
                <w:lang w:val="en-US"/>
              </w:rPr>
              <w:t>Intertrade</w:t>
            </w:r>
            <w:proofErr w:type="spellEnd"/>
            <w:r w:rsidRPr="00E44DB2">
              <w:rPr>
                <w:rFonts w:ascii="Arial" w:hAnsi="Arial" w:cs="Arial"/>
                <w:szCs w:val="22"/>
                <w:lang w:val="en-US"/>
              </w:rPr>
              <w:t xml:space="preserve"> Company (NICO), and National Iranian Tanker Company (NITC), including the purchase of petroleum, petroleum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products, or petrochemical products from Iran;</w:t>
            </w:r>
          </w:p>
          <w:p w14:paraId="418E0946" w14:textId="22378A9E" w:rsidR="00020258" w:rsidRPr="00E44DB2" w:rsidRDefault="00020258" w:rsidP="00020258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E44DB2">
              <w:rPr>
                <w:rFonts w:ascii="Arial" w:hAnsi="Arial" w:cs="Arial"/>
                <w:szCs w:val="22"/>
                <w:lang w:val="en-US"/>
              </w:rPr>
              <w:t>Sanctions on transactions by foreign financial institutions with the Central Bank of Iran and designated Iranian financial institutions under Section 1245 of the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National Defense Authorization Act for Fiscal Year 2012 (NDAA)</w:t>
            </w:r>
          </w:p>
          <w:p w14:paraId="0125A25C" w14:textId="2F0519E6" w:rsidR="00020258" w:rsidRPr="00E44DB2" w:rsidRDefault="00020258" w:rsidP="00020258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E44DB2">
              <w:rPr>
                <w:rFonts w:ascii="Arial" w:hAnsi="Arial" w:cs="Arial"/>
                <w:szCs w:val="22"/>
                <w:lang w:val="en-US"/>
              </w:rPr>
              <w:t xml:space="preserve">Sanctions on the provision of specialized financial messaging services to the Central Bank of Iran and Iranian </w:t>
            </w:r>
            <w:r w:rsidRPr="00E44DB2">
              <w:rPr>
                <w:rFonts w:ascii="Arial" w:hAnsi="Arial" w:cs="Arial"/>
                <w:szCs w:val="22"/>
                <w:lang w:val="en-US"/>
              </w:rPr>
              <w:lastRenderedPageBreak/>
              <w:t>financial institutions described in Section 104(c)(2)(E)(ii) of the Comprehensive Iran Sanctions and Divestment Act of 2010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(CISADA)</w:t>
            </w:r>
          </w:p>
          <w:p w14:paraId="1BD25939" w14:textId="3A3F9FD6" w:rsidR="00020258" w:rsidRPr="00E44DB2" w:rsidRDefault="00020258" w:rsidP="00020258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E44DB2">
              <w:rPr>
                <w:rFonts w:ascii="Arial" w:hAnsi="Arial" w:cs="Arial"/>
                <w:szCs w:val="22"/>
                <w:lang w:val="en-US"/>
              </w:rPr>
              <w:t>Sanctions on the provision of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44DB2">
              <w:rPr>
                <w:rFonts w:ascii="Arial" w:hAnsi="Arial" w:cs="Arial"/>
                <w:szCs w:val="22"/>
                <w:lang w:val="en-US"/>
              </w:rPr>
              <w:t>underwriting services, insurance, or reinsurance</w:t>
            </w:r>
          </w:p>
          <w:p w14:paraId="16D1F679" w14:textId="5EF0406B" w:rsidR="00020258" w:rsidRPr="00E44DB2" w:rsidRDefault="00020258" w:rsidP="00020258">
            <w:pPr>
              <w:pStyle w:val="ListParagraph"/>
              <w:numPr>
                <w:ilvl w:val="0"/>
                <w:numId w:val="13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 w:rsidRPr="00E44DB2">
              <w:rPr>
                <w:rFonts w:ascii="Arial" w:hAnsi="Arial" w:cs="Arial"/>
                <w:szCs w:val="22"/>
                <w:lang w:val="en-US"/>
              </w:rPr>
              <w:t>Sanctions on Iran’s energy sector</w:t>
            </w:r>
          </w:p>
        </w:tc>
        <w:tc>
          <w:tcPr>
            <w:tcW w:w="1275" w:type="dxa"/>
          </w:tcPr>
          <w:p w14:paraId="0FE948A4" w14:textId="5E4513B0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lastRenderedPageBreak/>
              <w:t>US</w:t>
            </w:r>
          </w:p>
        </w:tc>
        <w:tc>
          <w:tcPr>
            <w:tcW w:w="1985" w:type="dxa"/>
          </w:tcPr>
          <w:p w14:paraId="03947667" w14:textId="3F9BDC2C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18EF115" w14:textId="33B30DF5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 November 2018</w:t>
            </w:r>
          </w:p>
        </w:tc>
        <w:tc>
          <w:tcPr>
            <w:tcW w:w="3402" w:type="dxa"/>
          </w:tcPr>
          <w:p w14:paraId="13C39E27" w14:textId="77777777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20258" w14:paraId="6A50A77F" w14:textId="77777777" w:rsidTr="008420B6">
        <w:tc>
          <w:tcPr>
            <w:tcW w:w="6380" w:type="dxa"/>
          </w:tcPr>
          <w:p w14:paraId="22E9AF7C" w14:textId="5B30DB51" w:rsidR="00020258" w:rsidRDefault="00031B7E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 s</w:t>
            </w:r>
            <w:r w:rsidR="00020258">
              <w:rPr>
                <w:rFonts w:ascii="Arial" w:hAnsi="Arial" w:cs="Arial"/>
                <w:szCs w:val="22"/>
                <w:lang w:val="en-US"/>
              </w:rPr>
              <w:t>anctions re-imposed after the wind-down period effective 5 November 2018:</w:t>
            </w:r>
          </w:p>
          <w:p w14:paraId="5E051703" w14:textId="77777777" w:rsidR="00020258" w:rsidRDefault="00020258" w:rsidP="00020258">
            <w:pPr>
              <w:pStyle w:val="ListParagraph"/>
              <w:numPr>
                <w:ilvl w:val="0"/>
                <w:numId w:val="18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Sanctions on activities previously authorized pursuant to General License H</w:t>
            </w:r>
          </w:p>
          <w:p w14:paraId="5EAADF0F" w14:textId="3E3AA1C3" w:rsidR="00020258" w:rsidRPr="00E07638" w:rsidRDefault="00020258" w:rsidP="00020258">
            <w:pPr>
              <w:pStyle w:val="ListParagraph"/>
              <w:numPr>
                <w:ilvl w:val="0"/>
                <w:numId w:val="18"/>
              </w:num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Visa bans and asset freezes (SDN list)</w:t>
            </w:r>
          </w:p>
        </w:tc>
        <w:tc>
          <w:tcPr>
            <w:tcW w:w="1275" w:type="dxa"/>
          </w:tcPr>
          <w:p w14:paraId="5C3C2581" w14:textId="0EA06F7F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US</w:t>
            </w:r>
          </w:p>
        </w:tc>
        <w:tc>
          <w:tcPr>
            <w:tcW w:w="1985" w:type="dxa"/>
          </w:tcPr>
          <w:p w14:paraId="0A77A4A7" w14:textId="5C3A31F8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AF44587" w14:textId="705F59CC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 November 2018</w:t>
            </w:r>
          </w:p>
        </w:tc>
        <w:tc>
          <w:tcPr>
            <w:tcW w:w="3402" w:type="dxa"/>
          </w:tcPr>
          <w:p w14:paraId="781C21FC" w14:textId="77777777" w:rsidR="00020258" w:rsidRDefault="00020258" w:rsidP="00020258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84037" w14:paraId="29F75BEE" w14:textId="77777777" w:rsidTr="008420B6">
        <w:tc>
          <w:tcPr>
            <w:tcW w:w="6380" w:type="dxa"/>
          </w:tcPr>
          <w:p w14:paraId="7293F2E1" w14:textId="65DB2417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Lifting of nuclear proliferation-related EU sanctions 8 years after Adoption Day, or upon an International Atomic Energy Agency report stating that nuclear material in Iran remains in peaceful activities, whichever is earlier</w:t>
            </w:r>
          </w:p>
        </w:tc>
        <w:tc>
          <w:tcPr>
            <w:tcW w:w="1275" w:type="dxa"/>
          </w:tcPr>
          <w:p w14:paraId="30D98FE2" w14:textId="1AC33964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</w:t>
            </w:r>
            <w:r w:rsidR="00CF28BE">
              <w:rPr>
                <w:rFonts w:ascii="Arial" w:hAnsi="Arial" w:cs="Arial"/>
                <w:szCs w:val="22"/>
                <w:lang w:val="en-US"/>
              </w:rPr>
              <w:t xml:space="preserve"> (and the remaining JCPOA parties)</w:t>
            </w:r>
          </w:p>
        </w:tc>
        <w:tc>
          <w:tcPr>
            <w:tcW w:w="1985" w:type="dxa"/>
          </w:tcPr>
          <w:p w14:paraId="2571AB8B" w14:textId="4D2BEAF3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 October 2015</w:t>
            </w:r>
          </w:p>
        </w:tc>
        <w:tc>
          <w:tcPr>
            <w:tcW w:w="2126" w:type="dxa"/>
          </w:tcPr>
          <w:p w14:paraId="2A407671" w14:textId="77777777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 October 2023</w:t>
            </w:r>
          </w:p>
          <w:p w14:paraId="14CEB031" w14:textId="060C98F5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Transition Day</w:t>
            </w:r>
          </w:p>
        </w:tc>
        <w:tc>
          <w:tcPr>
            <w:tcW w:w="3402" w:type="dxa"/>
          </w:tcPr>
          <w:p w14:paraId="584A0038" w14:textId="77777777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84037" w14:paraId="6D8C64A2" w14:textId="77777777" w:rsidTr="008420B6">
        <w:tc>
          <w:tcPr>
            <w:tcW w:w="6380" w:type="dxa"/>
          </w:tcPr>
          <w:p w14:paraId="1A7BAF88" w14:textId="7CC41B3C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Termination of all remaining UN and EU measures </w:t>
            </w:r>
            <w:r w:rsidRPr="00584037">
              <w:rPr>
                <w:rFonts w:ascii="Arial" w:hAnsi="Arial" w:cs="Arial"/>
                <w:szCs w:val="22"/>
                <w:lang w:val="en-US"/>
              </w:rPr>
              <w:t>10 years after Adoption Day, if the provisions of previous UN Security Council resolutions have not been reinstated</w:t>
            </w:r>
          </w:p>
        </w:tc>
        <w:tc>
          <w:tcPr>
            <w:tcW w:w="1275" w:type="dxa"/>
          </w:tcPr>
          <w:p w14:paraId="1609A8C9" w14:textId="4827F30B" w:rsidR="00584037" w:rsidRDefault="00BD7A1F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EU</w:t>
            </w:r>
            <w:r w:rsidR="00CF28BE">
              <w:rPr>
                <w:rFonts w:ascii="Arial" w:hAnsi="Arial" w:cs="Arial"/>
                <w:szCs w:val="22"/>
                <w:lang w:val="en-US"/>
              </w:rPr>
              <w:t xml:space="preserve"> (and the remaining JCPOA parties)</w:t>
            </w:r>
          </w:p>
        </w:tc>
        <w:tc>
          <w:tcPr>
            <w:tcW w:w="1985" w:type="dxa"/>
          </w:tcPr>
          <w:p w14:paraId="0B9CD93A" w14:textId="1D77A7EE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 October 2015</w:t>
            </w:r>
          </w:p>
        </w:tc>
        <w:tc>
          <w:tcPr>
            <w:tcW w:w="2126" w:type="dxa"/>
          </w:tcPr>
          <w:p w14:paraId="19134A08" w14:textId="77777777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 October 2025</w:t>
            </w:r>
          </w:p>
          <w:p w14:paraId="1B462E02" w14:textId="7B0706FF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UN Security Council resolution Termination Day</w:t>
            </w:r>
          </w:p>
        </w:tc>
        <w:tc>
          <w:tcPr>
            <w:tcW w:w="3402" w:type="dxa"/>
          </w:tcPr>
          <w:p w14:paraId="6E5FD572" w14:textId="77777777" w:rsidR="00584037" w:rsidRDefault="00584037" w:rsidP="00584037">
            <w:pPr>
              <w:tabs>
                <w:tab w:val="left" w:pos="5408"/>
              </w:tabs>
              <w:ind w:right="-1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14:paraId="0FAE1C54" w14:textId="1F446F4F" w:rsidR="0051284E" w:rsidRDefault="0051284E" w:rsidP="0051284E">
      <w:pPr>
        <w:tabs>
          <w:tab w:val="left" w:pos="5408"/>
        </w:tabs>
        <w:ind w:right="-1"/>
        <w:jc w:val="both"/>
        <w:rPr>
          <w:rFonts w:ascii="Arial" w:hAnsi="Arial" w:cs="Arial"/>
          <w:szCs w:val="22"/>
          <w:lang w:val="en-US"/>
        </w:rPr>
      </w:pPr>
    </w:p>
    <w:sectPr w:rsidR="0051284E" w:rsidSect="00884275">
      <w:headerReference w:type="default" r:id="rId8"/>
      <w:footerReference w:type="default" r:id="rId9"/>
      <w:headerReference w:type="first" r:id="rId10"/>
      <w:pgSz w:w="16838" w:h="11906" w:orient="landscape" w:code="9"/>
      <w:pgMar w:top="1701" w:right="2835" w:bottom="1701" w:left="1701" w:header="907" w:footer="4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6F36" w14:textId="77777777" w:rsidR="00AB29B7" w:rsidRDefault="00AB29B7">
      <w:r>
        <w:separator/>
      </w:r>
    </w:p>
  </w:endnote>
  <w:endnote w:type="continuationSeparator" w:id="0">
    <w:p w14:paraId="706791DA" w14:textId="77777777" w:rsidR="00AB29B7" w:rsidRDefault="00A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8A86" w14:textId="77777777" w:rsidR="00CE17F8" w:rsidRPr="0086513A" w:rsidRDefault="00CE17F8" w:rsidP="0086513A">
    <w:pPr>
      <w:pStyle w:val="Footer"/>
      <w:tabs>
        <w:tab w:val="clear" w:pos="8306"/>
        <w:tab w:val="right" w:pos="8505"/>
      </w:tabs>
      <w:jc w:val="right"/>
      <w:rPr>
        <w:rFonts w:ascii="Arial" w:hAnsi="Arial" w:cs="Arial"/>
        <w:sz w:val="18"/>
        <w:szCs w:val="18"/>
      </w:rPr>
    </w:pPr>
    <w:r w:rsidRPr="0086513A">
      <w:rPr>
        <w:rStyle w:val="PageNumber"/>
        <w:rFonts w:ascii="Arial" w:hAnsi="Arial" w:cs="Arial"/>
        <w:sz w:val="18"/>
        <w:szCs w:val="18"/>
      </w:rPr>
      <w:fldChar w:fldCharType="begin"/>
    </w:r>
    <w:r w:rsidRPr="0086513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6513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86513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085F" w14:textId="77777777" w:rsidR="00AB29B7" w:rsidRDefault="00AB29B7">
      <w:r>
        <w:separator/>
      </w:r>
    </w:p>
  </w:footnote>
  <w:footnote w:type="continuationSeparator" w:id="0">
    <w:p w14:paraId="71E60B84" w14:textId="77777777" w:rsidR="00AB29B7" w:rsidRDefault="00AB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011C" w14:textId="66B208E8" w:rsidR="00CE17F8" w:rsidRPr="00ED1087" w:rsidRDefault="0051284E" w:rsidP="0086513A">
    <w:pPr>
      <w:pStyle w:val="Header"/>
      <w:ind w:right="-852" w:hanging="142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C51AB30" wp14:editId="7A09D80B">
          <wp:extent cx="1797050" cy="436245"/>
          <wp:effectExtent l="0" t="0" r="0" b="0"/>
          <wp:docPr id="1" name="Picture 1" descr="Logo small done by s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 done by s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54C64" w14:textId="77777777" w:rsidR="00CE17F8" w:rsidRDefault="00CE17F8">
    <w:pPr>
      <w:pStyle w:val="Header"/>
      <w:jc w:val="right"/>
    </w:pPr>
  </w:p>
  <w:p w14:paraId="6A305B29" w14:textId="77777777" w:rsidR="00CE17F8" w:rsidRDefault="00CE1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5A2" w14:textId="2D2893A6" w:rsidR="003158C6" w:rsidRDefault="003158C6">
    <w:pPr>
      <w:pStyle w:val="Header"/>
    </w:pPr>
    <w:r>
      <w:rPr>
        <w:rFonts w:ascii="Arial" w:hAnsi="Arial" w:cs="Arial"/>
        <w:noProof/>
      </w:rPr>
      <w:drawing>
        <wp:inline distT="0" distB="0" distL="0" distR="0" wp14:anchorId="08B5195B" wp14:editId="269A6791">
          <wp:extent cx="1797050" cy="436245"/>
          <wp:effectExtent l="0" t="0" r="0" b="0"/>
          <wp:docPr id="3" name="Picture 3" descr="Logo small done by s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 done by s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A9438C"/>
    <w:multiLevelType w:val="hybridMultilevel"/>
    <w:tmpl w:val="2416B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6B4E"/>
    <w:multiLevelType w:val="hybridMultilevel"/>
    <w:tmpl w:val="D620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C38"/>
    <w:multiLevelType w:val="hybridMultilevel"/>
    <w:tmpl w:val="06B2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016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645"/>
    <w:multiLevelType w:val="hybridMultilevel"/>
    <w:tmpl w:val="12860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C6A32"/>
    <w:multiLevelType w:val="hybridMultilevel"/>
    <w:tmpl w:val="95BE0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A282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8C15BA"/>
    <w:multiLevelType w:val="hybridMultilevel"/>
    <w:tmpl w:val="71D8F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C4EC1"/>
    <w:multiLevelType w:val="hybridMultilevel"/>
    <w:tmpl w:val="38CEC8E8"/>
    <w:lvl w:ilvl="0" w:tplc="E05A76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1712"/>
    <w:multiLevelType w:val="hybridMultilevel"/>
    <w:tmpl w:val="97622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D30FE"/>
    <w:multiLevelType w:val="hybridMultilevel"/>
    <w:tmpl w:val="9182B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B105D"/>
    <w:multiLevelType w:val="hybridMultilevel"/>
    <w:tmpl w:val="1E5CF954"/>
    <w:lvl w:ilvl="0" w:tplc="D5162EC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7A83"/>
    <w:multiLevelType w:val="hybridMultilevel"/>
    <w:tmpl w:val="6F660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E5A99"/>
    <w:multiLevelType w:val="hybridMultilevel"/>
    <w:tmpl w:val="BE904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F0111"/>
    <w:multiLevelType w:val="hybridMultilevel"/>
    <w:tmpl w:val="2B14E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06CA2"/>
    <w:multiLevelType w:val="hybridMultilevel"/>
    <w:tmpl w:val="C452F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72379"/>
    <w:multiLevelType w:val="singleLevel"/>
    <w:tmpl w:val="3EE89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8597587"/>
    <w:multiLevelType w:val="hybridMultilevel"/>
    <w:tmpl w:val="A8B22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C1BCC"/>
    <w:multiLevelType w:val="hybridMultilevel"/>
    <w:tmpl w:val="3E98B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F6828"/>
    <w:multiLevelType w:val="hybridMultilevel"/>
    <w:tmpl w:val="1CD21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7"/>
  </w:num>
  <w:num w:numId="14">
    <w:abstractNumId w:val="3"/>
  </w:num>
  <w:num w:numId="15">
    <w:abstractNumId w:val="1"/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4E"/>
    <w:rsid w:val="00020258"/>
    <w:rsid w:val="00024D91"/>
    <w:rsid w:val="00031B7E"/>
    <w:rsid w:val="00062959"/>
    <w:rsid w:val="00074D61"/>
    <w:rsid w:val="00077F01"/>
    <w:rsid w:val="000B3177"/>
    <w:rsid w:val="000D3524"/>
    <w:rsid w:val="000D61C9"/>
    <w:rsid w:val="000E3DBF"/>
    <w:rsid w:val="000E73BA"/>
    <w:rsid w:val="000F028F"/>
    <w:rsid w:val="001032B1"/>
    <w:rsid w:val="00105CF9"/>
    <w:rsid w:val="0011269C"/>
    <w:rsid w:val="00130242"/>
    <w:rsid w:val="00130384"/>
    <w:rsid w:val="00142932"/>
    <w:rsid w:val="00144A7A"/>
    <w:rsid w:val="00152E8F"/>
    <w:rsid w:val="001633D8"/>
    <w:rsid w:val="00166079"/>
    <w:rsid w:val="00172E8B"/>
    <w:rsid w:val="001B2BC8"/>
    <w:rsid w:val="001B6721"/>
    <w:rsid w:val="001D1B95"/>
    <w:rsid w:val="001F79BB"/>
    <w:rsid w:val="00212AC4"/>
    <w:rsid w:val="002559E1"/>
    <w:rsid w:val="002631D2"/>
    <w:rsid w:val="00271FE2"/>
    <w:rsid w:val="00280FFE"/>
    <w:rsid w:val="002B0221"/>
    <w:rsid w:val="002C60A5"/>
    <w:rsid w:val="002D43C3"/>
    <w:rsid w:val="003031EC"/>
    <w:rsid w:val="003158C6"/>
    <w:rsid w:val="00324135"/>
    <w:rsid w:val="00342459"/>
    <w:rsid w:val="00355017"/>
    <w:rsid w:val="00376230"/>
    <w:rsid w:val="003A208E"/>
    <w:rsid w:val="003D0391"/>
    <w:rsid w:val="003E0280"/>
    <w:rsid w:val="003E2DBB"/>
    <w:rsid w:val="004447E5"/>
    <w:rsid w:val="0045631C"/>
    <w:rsid w:val="00481EEC"/>
    <w:rsid w:val="004A4D8D"/>
    <w:rsid w:val="004B4A70"/>
    <w:rsid w:val="0050433C"/>
    <w:rsid w:val="00504D8B"/>
    <w:rsid w:val="0051284E"/>
    <w:rsid w:val="00533F93"/>
    <w:rsid w:val="00540F5B"/>
    <w:rsid w:val="00562A63"/>
    <w:rsid w:val="005737A9"/>
    <w:rsid w:val="0057526A"/>
    <w:rsid w:val="00584037"/>
    <w:rsid w:val="005B0622"/>
    <w:rsid w:val="005B2706"/>
    <w:rsid w:val="005D79CF"/>
    <w:rsid w:val="005F7786"/>
    <w:rsid w:val="005F793F"/>
    <w:rsid w:val="006177D0"/>
    <w:rsid w:val="00617A5B"/>
    <w:rsid w:val="006232E7"/>
    <w:rsid w:val="00631CBD"/>
    <w:rsid w:val="006426C4"/>
    <w:rsid w:val="00650BEA"/>
    <w:rsid w:val="00654B1D"/>
    <w:rsid w:val="006677EC"/>
    <w:rsid w:val="00670A72"/>
    <w:rsid w:val="006D1DCF"/>
    <w:rsid w:val="006E0EC9"/>
    <w:rsid w:val="006E31A2"/>
    <w:rsid w:val="00714993"/>
    <w:rsid w:val="007654B8"/>
    <w:rsid w:val="007674B4"/>
    <w:rsid w:val="00777448"/>
    <w:rsid w:val="00777B5C"/>
    <w:rsid w:val="00794730"/>
    <w:rsid w:val="007B4CF9"/>
    <w:rsid w:val="007C480D"/>
    <w:rsid w:val="007C4922"/>
    <w:rsid w:val="007D069C"/>
    <w:rsid w:val="007D1D6F"/>
    <w:rsid w:val="007D28DC"/>
    <w:rsid w:val="007F4316"/>
    <w:rsid w:val="00812D62"/>
    <w:rsid w:val="008157B0"/>
    <w:rsid w:val="008330C5"/>
    <w:rsid w:val="008414E7"/>
    <w:rsid w:val="008420B6"/>
    <w:rsid w:val="00845221"/>
    <w:rsid w:val="00856977"/>
    <w:rsid w:val="00862F90"/>
    <w:rsid w:val="0086513A"/>
    <w:rsid w:val="00874B54"/>
    <w:rsid w:val="008816B3"/>
    <w:rsid w:val="00884275"/>
    <w:rsid w:val="00886A53"/>
    <w:rsid w:val="00890E60"/>
    <w:rsid w:val="008A22FC"/>
    <w:rsid w:val="008F20F6"/>
    <w:rsid w:val="00900327"/>
    <w:rsid w:val="00903533"/>
    <w:rsid w:val="00957521"/>
    <w:rsid w:val="009623D5"/>
    <w:rsid w:val="00965897"/>
    <w:rsid w:val="00966DB7"/>
    <w:rsid w:val="00993959"/>
    <w:rsid w:val="009A6C79"/>
    <w:rsid w:val="009B400E"/>
    <w:rsid w:val="009C5DDD"/>
    <w:rsid w:val="009D030D"/>
    <w:rsid w:val="009D625E"/>
    <w:rsid w:val="009E588C"/>
    <w:rsid w:val="00A17E0D"/>
    <w:rsid w:val="00A3607B"/>
    <w:rsid w:val="00A43E75"/>
    <w:rsid w:val="00A864F7"/>
    <w:rsid w:val="00A93F7D"/>
    <w:rsid w:val="00AB29B7"/>
    <w:rsid w:val="00AC3EC1"/>
    <w:rsid w:val="00AE04EC"/>
    <w:rsid w:val="00AF026D"/>
    <w:rsid w:val="00AF2A5C"/>
    <w:rsid w:val="00B11E54"/>
    <w:rsid w:val="00B31F7A"/>
    <w:rsid w:val="00B345AF"/>
    <w:rsid w:val="00B34790"/>
    <w:rsid w:val="00B81B92"/>
    <w:rsid w:val="00B8745B"/>
    <w:rsid w:val="00BA2590"/>
    <w:rsid w:val="00BB193A"/>
    <w:rsid w:val="00BC5498"/>
    <w:rsid w:val="00BD07B0"/>
    <w:rsid w:val="00BD3B68"/>
    <w:rsid w:val="00BD7A1F"/>
    <w:rsid w:val="00BE1E39"/>
    <w:rsid w:val="00BE3BE5"/>
    <w:rsid w:val="00BE7D5A"/>
    <w:rsid w:val="00BF1238"/>
    <w:rsid w:val="00BF2F69"/>
    <w:rsid w:val="00C322A3"/>
    <w:rsid w:val="00C330B9"/>
    <w:rsid w:val="00C447BF"/>
    <w:rsid w:val="00C6303C"/>
    <w:rsid w:val="00C940DE"/>
    <w:rsid w:val="00CC26B0"/>
    <w:rsid w:val="00CE17F8"/>
    <w:rsid w:val="00CF28BE"/>
    <w:rsid w:val="00D201F7"/>
    <w:rsid w:val="00D45D9A"/>
    <w:rsid w:val="00D567EA"/>
    <w:rsid w:val="00DB0671"/>
    <w:rsid w:val="00DB2319"/>
    <w:rsid w:val="00DB495F"/>
    <w:rsid w:val="00DC15B9"/>
    <w:rsid w:val="00DD1AD3"/>
    <w:rsid w:val="00E07638"/>
    <w:rsid w:val="00E17372"/>
    <w:rsid w:val="00E2273F"/>
    <w:rsid w:val="00E269BB"/>
    <w:rsid w:val="00E32FB8"/>
    <w:rsid w:val="00E42659"/>
    <w:rsid w:val="00E44DB2"/>
    <w:rsid w:val="00E62B7B"/>
    <w:rsid w:val="00E757FE"/>
    <w:rsid w:val="00E80E5D"/>
    <w:rsid w:val="00EA056E"/>
    <w:rsid w:val="00EB5A2B"/>
    <w:rsid w:val="00EB5F4D"/>
    <w:rsid w:val="00EC2872"/>
    <w:rsid w:val="00ED1087"/>
    <w:rsid w:val="00EF7E9A"/>
    <w:rsid w:val="00F1145B"/>
    <w:rsid w:val="00F6156B"/>
    <w:rsid w:val="00F7757D"/>
    <w:rsid w:val="00F841B3"/>
    <w:rsid w:val="00F8466D"/>
    <w:rsid w:val="00F9300A"/>
    <w:rsid w:val="00FA2C6A"/>
    <w:rsid w:val="00FC5D1C"/>
    <w:rsid w:val="00FD519C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26B8A7"/>
  <w15:docId w15:val="{0816F91E-75FC-475A-A7D7-DE08648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3959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AddressCodes">
    <w:name w:val="AddressCodes"/>
    <w:basedOn w:val="Normal"/>
    <w:pPr>
      <w:framePr w:w="8505" w:h="1985" w:hSpace="181" w:wrap="around" w:vAnchor="page" w:hAnchor="page" w:x="5954" w:y="2382"/>
      <w:tabs>
        <w:tab w:val="left" w:pos="4820"/>
      </w:tabs>
      <w:jc w:val="both"/>
    </w:pPr>
    <w:rPr>
      <w:noProof/>
    </w:rPr>
  </w:style>
  <w:style w:type="paragraph" w:styleId="BalloonText">
    <w:name w:val="Balloon Text"/>
    <w:basedOn w:val="Normal"/>
    <w:semiHidden/>
    <w:rsid w:val="00A36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7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1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files\Standard\Templates\COURRIER-EMAIL\Note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FBB2-6659-4D7C-8C1A-F8BECA93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EN</Template>
  <TotalTime>888</TotalTime>
  <Pages>8</Pages>
  <Words>1697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BUSINESSEUROPE</Company>
  <LinksUpToDate>false</LinksUpToDate>
  <CharactersWithSpaces>11299</CharactersWithSpaces>
  <SharedDoc>false</SharedDoc>
  <HLinks>
    <vt:vector size="6" baseType="variant"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http://www.businesseurope.eu/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Célia Houver</dc:creator>
  <cp:keywords/>
  <dc:description/>
  <cp:lastModifiedBy>Bournou Sofia</cp:lastModifiedBy>
  <cp:revision>25</cp:revision>
  <cp:lastPrinted>2018-06-28T08:00:00Z</cp:lastPrinted>
  <dcterms:created xsi:type="dcterms:W3CDTF">2018-06-20T14:30:00Z</dcterms:created>
  <dcterms:modified xsi:type="dcterms:W3CDTF">2018-06-28T08:08:00Z</dcterms:modified>
</cp:coreProperties>
</file>