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7938" w:type="dxa"/>
        <w:tblInd w:w="279" w:type="dxa"/>
        <w:tblLook w:val="04A0" w:firstRow="1" w:lastRow="0" w:firstColumn="1" w:lastColumn="0" w:noHBand="0" w:noVBand="1"/>
      </w:tblPr>
      <w:tblGrid>
        <w:gridCol w:w="7938"/>
      </w:tblGrid>
      <w:tr w:rsidR="00865A22" w:rsidRPr="00CB632C" w14:paraId="501AEE4D" w14:textId="77777777" w:rsidTr="004B0D14">
        <w:trPr>
          <w:trHeight w:val="983"/>
        </w:trPr>
        <w:tc>
          <w:tcPr>
            <w:tcW w:w="7938" w:type="dxa"/>
          </w:tcPr>
          <w:p w14:paraId="1377649F" w14:textId="046A3604" w:rsidR="00865A22" w:rsidRDefault="00865A22" w:rsidP="004B0D14">
            <w:pPr>
              <w:jc w:val="center"/>
              <w:rPr>
                <w:rStyle w:val="hgkelc"/>
                <w:rFonts w:cstheme="minorHAnsi"/>
                <w:b/>
                <w:bCs/>
              </w:rPr>
            </w:pPr>
            <w:bookmarkStart w:id="0" w:name="_Hlk51253980"/>
            <w:r w:rsidRPr="00A421E7">
              <w:rPr>
                <w:rStyle w:val="hgkelc"/>
                <w:rFonts w:cstheme="minorHAnsi"/>
                <w:b/>
                <w:bCs/>
              </w:rPr>
              <w:t xml:space="preserve">Comisión </w:t>
            </w:r>
            <w:r w:rsidRPr="00865A22">
              <w:rPr>
                <w:rStyle w:val="hgkelc"/>
                <w:rFonts w:cstheme="minorHAnsi"/>
                <w:b/>
                <w:bCs/>
              </w:rPr>
              <w:t>Mixta para la Unión Europea</w:t>
            </w:r>
          </w:p>
          <w:p w14:paraId="6D190347" w14:textId="7547BCA4" w:rsidR="00865A22" w:rsidRDefault="00865A22" w:rsidP="004B0D14">
            <w:pPr>
              <w:jc w:val="center"/>
              <w:rPr>
                <w:rStyle w:val="hgkelc"/>
                <w:rFonts w:cstheme="minorHAnsi"/>
              </w:rPr>
            </w:pPr>
            <w:r w:rsidRPr="00865A22">
              <w:rPr>
                <w:rStyle w:val="hgkelc"/>
                <w:rFonts w:cstheme="minorHAnsi"/>
                <w:b/>
                <w:bCs/>
              </w:rPr>
              <w:t xml:space="preserve">Comparecencia de la Ministra de Asuntos Exteriores, Unión Europea y Cooperación </w:t>
            </w:r>
          </w:p>
          <w:p w14:paraId="05B57E28" w14:textId="77777777" w:rsidR="00865A22" w:rsidRDefault="00865A22" w:rsidP="004B0D14">
            <w:pPr>
              <w:jc w:val="center"/>
              <w:rPr>
                <w:rFonts w:eastAsia="Times New Roman" w:cstheme="minorHAnsi"/>
                <w:i/>
                <w:iCs/>
              </w:rPr>
            </w:pPr>
          </w:p>
          <w:p w14:paraId="739FAF74" w14:textId="6FF0D8AE" w:rsidR="00865A22" w:rsidRPr="00CB632C" w:rsidRDefault="00865A22" w:rsidP="004B0D14">
            <w:pPr>
              <w:jc w:val="center"/>
              <w:rPr>
                <w:rFonts w:eastAsia="Times New Roman" w:cstheme="minorHAnsi"/>
                <w:i/>
                <w:iCs/>
              </w:rPr>
            </w:pPr>
            <w:r>
              <w:rPr>
                <w:rFonts w:eastAsia="Times New Roman" w:cstheme="minorHAnsi"/>
                <w:i/>
                <w:iCs/>
              </w:rPr>
              <w:t>20</w:t>
            </w:r>
            <w:r w:rsidRPr="00CB632C">
              <w:rPr>
                <w:rFonts w:eastAsia="Times New Roman" w:cstheme="minorHAnsi"/>
                <w:i/>
                <w:iCs/>
              </w:rPr>
              <w:t xml:space="preserve"> de </w:t>
            </w:r>
            <w:r>
              <w:rPr>
                <w:rFonts w:eastAsia="Times New Roman" w:cstheme="minorHAnsi"/>
                <w:i/>
                <w:iCs/>
              </w:rPr>
              <w:t>enero</w:t>
            </w:r>
            <w:r w:rsidRPr="00CB632C">
              <w:rPr>
                <w:rFonts w:eastAsia="Times New Roman" w:cstheme="minorHAnsi"/>
                <w:i/>
                <w:iCs/>
              </w:rPr>
              <w:t xml:space="preserve"> de 202</w:t>
            </w:r>
            <w:r>
              <w:rPr>
                <w:rFonts w:eastAsia="Times New Roman" w:cstheme="minorHAnsi"/>
                <w:i/>
                <w:iCs/>
              </w:rPr>
              <w:t>1</w:t>
            </w:r>
          </w:p>
        </w:tc>
      </w:tr>
      <w:bookmarkEnd w:id="0"/>
    </w:tbl>
    <w:p w14:paraId="3434CEE0" w14:textId="02EABC15" w:rsidR="00865A22" w:rsidRDefault="00865A22" w:rsidP="00865A22">
      <w:pPr>
        <w:jc w:val="both"/>
        <w:rPr>
          <w:b/>
          <w:bCs/>
        </w:rPr>
      </w:pPr>
    </w:p>
    <w:p w14:paraId="4E0A1951" w14:textId="4ECD1AE5" w:rsidR="00DD0624" w:rsidRPr="00674813" w:rsidRDefault="00DD0624" w:rsidP="004C58B4">
      <w:pPr>
        <w:jc w:val="both"/>
        <w:rPr>
          <w:rStyle w:val="hgkelc"/>
          <w:rFonts w:cstheme="minorHAnsi"/>
          <w:b/>
          <w:bCs/>
        </w:rPr>
      </w:pPr>
      <w:r w:rsidRPr="00674813">
        <w:rPr>
          <w:rStyle w:val="hgkelc"/>
          <w:rFonts w:cstheme="minorHAnsi"/>
          <w:b/>
          <w:bCs/>
        </w:rPr>
        <w:t>ACUERDO UE-REINO UNIDO</w:t>
      </w:r>
    </w:p>
    <w:p w14:paraId="0CF9915F" w14:textId="77777777" w:rsidR="00674813" w:rsidRDefault="00674813" w:rsidP="004C58B4">
      <w:pPr>
        <w:pStyle w:val="Prrafodelista"/>
        <w:numPr>
          <w:ilvl w:val="0"/>
          <w:numId w:val="3"/>
        </w:numPr>
        <w:jc w:val="both"/>
        <w:rPr>
          <w:rStyle w:val="hgkelc"/>
          <w:rFonts w:cstheme="minorHAnsi"/>
        </w:rPr>
      </w:pPr>
      <w:r w:rsidRPr="00674813">
        <w:rPr>
          <w:rStyle w:val="hgkelc"/>
          <w:rFonts w:cstheme="minorHAnsi"/>
        </w:rPr>
        <w:t xml:space="preserve">Celebra el acuerdo alcanzado y destaca los altos costes que supondría no haber alcanzado dicho acuerdo, en términos de reducción del PIB, impacto negativo en nuestras exportaciones al Reino Unido, especialmente en sectores como el agroalimentario, químico, pesquero y automoción. </w:t>
      </w:r>
      <w:r>
        <w:rPr>
          <w:rStyle w:val="hgkelc"/>
          <w:rFonts w:cstheme="minorHAnsi"/>
        </w:rPr>
        <w:t xml:space="preserve">La inversión británica en España y los servicios turísticos también se verían gravemente afectados. </w:t>
      </w:r>
    </w:p>
    <w:p w14:paraId="72B407D6" w14:textId="77777777" w:rsidR="00607ED5" w:rsidRDefault="00607ED5" w:rsidP="004C58B4">
      <w:pPr>
        <w:pStyle w:val="Prrafodelista"/>
        <w:ind w:left="360"/>
        <w:jc w:val="both"/>
        <w:rPr>
          <w:rStyle w:val="hgkelc"/>
          <w:rFonts w:cstheme="minorHAnsi"/>
        </w:rPr>
      </w:pPr>
    </w:p>
    <w:p w14:paraId="42D1990F" w14:textId="12B6324A" w:rsidR="00E62794" w:rsidRPr="00674813" w:rsidRDefault="00E62794" w:rsidP="004C58B4">
      <w:pPr>
        <w:pStyle w:val="Prrafodelista"/>
        <w:numPr>
          <w:ilvl w:val="0"/>
          <w:numId w:val="3"/>
        </w:numPr>
        <w:jc w:val="both"/>
        <w:rPr>
          <w:rStyle w:val="hgkelc"/>
          <w:rFonts w:cstheme="minorHAnsi"/>
        </w:rPr>
      </w:pPr>
      <w:r w:rsidRPr="00674813">
        <w:rPr>
          <w:rStyle w:val="hgkelc"/>
          <w:rFonts w:cstheme="minorHAnsi"/>
        </w:rPr>
        <w:t xml:space="preserve">El </w:t>
      </w:r>
      <w:r w:rsidR="00797E6C">
        <w:rPr>
          <w:rStyle w:val="hgkelc"/>
          <w:rFonts w:cstheme="minorHAnsi"/>
        </w:rPr>
        <w:t xml:space="preserve">acuerdo supone alcanzar </w:t>
      </w:r>
      <w:r w:rsidR="00531B99">
        <w:rPr>
          <w:rStyle w:val="hgkelc"/>
          <w:rFonts w:cstheme="minorHAnsi"/>
        </w:rPr>
        <w:t xml:space="preserve">un </w:t>
      </w:r>
      <w:r w:rsidRPr="00674813">
        <w:rPr>
          <w:rStyle w:val="hgkelc"/>
          <w:rFonts w:cstheme="minorHAnsi"/>
        </w:rPr>
        <w:t xml:space="preserve">compromiso sobre: </w:t>
      </w:r>
    </w:p>
    <w:p w14:paraId="6270708F" w14:textId="4EFB5AF2" w:rsidR="00F2263C" w:rsidRPr="00DC414B" w:rsidRDefault="00797E6C" w:rsidP="004C58B4">
      <w:pPr>
        <w:pStyle w:val="Prrafodelista"/>
        <w:numPr>
          <w:ilvl w:val="0"/>
          <w:numId w:val="4"/>
        </w:numPr>
        <w:jc w:val="both"/>
        <w:rPr>
          <w:rStyle w:val="hgkelc"/>
          <w:rFonts w:cstheme="minorHAnsi"/>
        </w:rPr>
      </w:pPr>
      <w:r w:rsidRPr="00DC414B">
        <w:rPr>
          <w:rStyle w:val="hgkelc"/>
          <w:rFonts w:cstheme="minorHAnsi"/>
        </w:rPr>
        <w:t>C</w:t>
      </w:r>
      <w:r w:rsidR="00E62794" w:rsidRPr="00DC414B">
        <w:rPr>
          <w:rStyle w:val="hgkelc"/>
          <w:rFonts w:cstheme="minorHAnsi"/>
        </w:rPr>
        <w:t>omercio y coop</w:t>
      </w:r>
      <w:r w:rsidRPr="00DC414B">
        <w:rPr>
          <w:rStyle w:val="hgkelc"/>
          <w:rFonts w:cstheme="minorHAnsi"/>
        </w:rPr>
        <w:t>eración</w:t>
      </w:r>
      <w:r w:rsidR="00E62794" w:rsidRPr="00DC414B">
        <w:rPr>
          <w:rStyle w:val="hgkelc"/>
          <w:rFonts w:cstheme="minorHAnsi"/>
        </w:rPr>
        <w:t xml:space="preserve">: </w:t>
      </w:r>
    </w:p>
    <w:p w14:paraId="02476759" w14:textId="431EE4E8" w:rsidR="00F0201F" w:rsidRDefault="00DC414B" w:rsidP="004C58B4">
      <w:pPr>
        <w:pStyle w:val="Prrafodelista"/>
        <w:numPr>
          <w:ilvl w:val="0"/>
          <w:numId w:val="5"/>
        </w:numPr>
        <w:jc w:val="both"/>
        <w:rPr>
          <w:rStyle w:val="hgkelc"/>
          <w:rFonts w:cstheme="minorHAnsi"/>
        </w:rPr>
      </w:pPr>
      <w:r>
        <w:rPr>
          <w:rStyle w:val="hgkelc"/>
          <w:rFonts w:cstheme="minorHAnsi"/>
        </w:rPr>
        <w:t>Acuerdo de libre comercio</w:t>
      </w:r>
      <w:r w:rsidR="00F0201F">
        <w:rPr>
          <w:rStyle w:val="hgkelc"/>
          <w:rFonts w:cstheme="minorHAnsi"/>
        </w:rPr>
        <w:t>;</w:t>
      </w:r>
    </w:p>
    <w:p w14:paraId="6C263AC6" w14:textId="295E6CD5" w:rsidR="00F2263C" w:rsidRDefault="00F0201F" w:rsidP="004C58B4">
      <w:pPr>
        <w:pStyle w:val="Prrafodelista"/>
        <w:numPr>
          <w:ilvl w:val="0"/>
          <w:numId w:val="5"/>
        </w:numPr>
        <w:jc w:val="both"/>
        <w:rPr>
          <w:rStyle w:val="hgkelc"/>
          <w:rFonts w:cstheme="minorHAnsi"/>
        </w:rPr>
      </w:pPr>
      <w:r>
        <w:rPr>
          <w:rStyle w:val="hgkelc"/>
          <w:rFonts w:cstheme="minorHAnsi"/>
        </w:rPr>
        <w:t>C</w:t>
      </w:r>
      <w:r w:rsidR="00DC414B" w:rsidRPr="00DC414B">
        <w:rPr>
          <w:rStyle w:val="hgkelc"/>
          <w:rFonts w:cstheme="minorHAnsi"/>
        </w:rPr>
        <w:t>ooperación económica social, medioambiental y pesquera</w:t>
      </w:r>
      <w:r>
        <w:rPr>
          <w:rStyle w:val="hgkelc"/>
          <w:rFonts w:cstheme="minorHAnsi"/>
        </w:rPr>
        <w:t>;</w:t>
      </w:r>
    </w:p>
    <w:p w14:paraId="248EECCF" w14:textId="5E4EF619" w:rsidR="00E62794" w:rsidRDefault="00E62794" w:rsidP="004C58B4">
      <w:pPr>
        <w:pStyle w:val="Prrafodelista"/>
        <w:numPr>
          <w:ilvl w:val="0"/>
          <w:numId w:val="1"/>
        </w:numPr>
        <w:jc w:val="both"/>
        <w:rPr>
          <w:rStyle w:val="hgkelc"/>
          <w:rFonts w:cstheme="minorHAnsi"/>
        </w:rPr>
      </w:pPr>
      <w:r>
        <w:rPr>
          <w:rStyle w:val="hgkelc"/>
          <w:rFonts w:cstheme="minorHAnsi"/>
        </w:rPr>
        <w:t>Asociación en seguridad interior</w:t>
      </w:r>
      <w:r w:rsidR="00F0201F">
        <w:rPr>
          <w:rStyle w:val="hgkelc"/>
          <w:rFonts w:cstheme="minorHAnsi"/>
        </w:rPr>
        <w:t>:</w:t>
      </w:r>
      <w:r w:rsidR="009A17FB" w:rsidRPr="009A17FB">
        <w:rPr>
          <w:rStyle w:val="hgkelc"/>
          <w:rFonts w:cstheme="minorHAnsi"/>
        </w:rPr>
        <w:t xml:space="preserve"> </w:t>
      </w:r>
      <w:r w:rsidR="009A17FB">
        <w:rPr>
          <w:rStyle w:val="hgkelc"/>
          <w:rFonts w:cstheme="minorHAnsi"/>
        </w:rPr>
        <w:t>Cooperación policial y judicial</w:t>
      </w:r>
      <w:r w:rsidR="00F0201F">
        <w:rPr>
          <w:rStyle w:val="hgkelc"/>
          <w:rFonts w:cstheme="minorHAnsi"/>
        </w:rPr>
        <w:t>;</w:t>
      </w:r>
    </w:p>
    <w:p w14:paraId="644ED4F0" w14:textId="25315407" w:rsidR="008208A0" w:rsidRPr="00E54ACC" w:rsidRDefault="00E62794" w:rsidP="004C58B4">
      <w:pPr>
        <w:pStyle w:val="Prrafodelista"/>
        <w:numPr>
          <w:ilvl w:val="0"/>
          <w:numId w:val="1"/>
        </w:numPr>
        <w:jc w:val="both"/>
        <w:rPr>
          <w:rStyle w:val="hgkelc"/>
          <w:rFonts w:cstheme="minorHAnsi"/>
        </w:rPr>
      </w:pPr>
      <w:r w:rsidRPr="00E54ACC">
        <w:rPr>
          <w:rStyle w:val="hgkelc"/>
          <w:rFonts w:cstheme="minorHAnsi"/>
        </w:rPr>
        <w:t>Marco de gobernan</w:t>
      </w:r>
      <w:r w:rsidR="00A87128" w:rsidRPr="00E54ACC">
        <w:rPr>
          <w:rStyle w:val="hgkelc"/>
          <w:rFonts w:cstheme="minorHAnsi"/>
        </w:rPr>
        <w:t>z</w:t>
      </w:r>
      <w:r w:rsidRPr="00E54ACC">
        <w:rPr>
          <w:rStyle w:val="hgkelc"/>
          <w:rFonts w:cstheme="minorHAnsi"/>
        </w:rPr>
        <w:t>a común para el conjunto del acuerdo</w:t>
      </w:r>
      <w:r w:rsidR="00F0201F" w:rsidRPr="00E54ACC">
        <w:rPr>
          <w:rStyle w:val="hgkelc"/>
          <w:rFonts w:cstheme="minorHAnsi"/>
        </w:rPr>
        <w:t>.</w:t>
      </w:r>
    </w:p>
    <w:p w14:paraId="7BB7C809" w14:textId="1A67A664" w:rsidR="00F2263C" w:rsidRPr="00F2263C" w:rsidRDefault="00F2263C" w:rsidP="004C58B4">
      <w:pPr>
        <w:pStyle w:val="Prrafodelista"/>
        <w:numPr>
          <w:ilvl w:val="0"/>
          <w:numId w:val="4"/>
        </w:numPr>
        <w:jc w:val="both"/>
        <w:rPr>
          <w:rStyle w:val="hgkelc"/>
          <w:rFonts w:cstheme="minorHAnsi"/>
        </w:rPr>
      </w:pPr>
      <w:r w:rsidRPr="00F2263C">
        <w:rPr>
          <w:rStyle w:val="hgkelc"/>
          <w:rFonts w:cstheme="minorHAnsi"/>
        </w:rPr>
        <w:t>S</w:t>
      </w:r>
      <w:r w:rsidR="00E62794" w:rsidRPr="00F2263C">
        <w:rPr>
          <w:rStyle w:val="hgkelc"/>
          <w:rFonts w:cstheme="minorHAnsi"/>
        </w:rPr>
        <w:t>eguridad en la información</w:t>
      </w:r>
      <w:r w:rsidRPr="00F2263C">
        <w:rPr>
          <w:rStyle w:val="hgkelc"/>
          <w:rFonts w:cstheme="minorHAnsi"/>
        </w:rPr>
        <w:t>.</w:t>
      </w:r>
    </w:p>
    <w:p w14:paraId="255DA992" w14:textId="30D70D17" w:rsidR="00E62794" w:rsidRDefault="00F2263C" w:rsidP="004C58B4">
      <w:pPr>
        <w:pStyle w:val="Prrafodelista"/>
        <w:numPr>
          <w:ilvl w:val="0"/>
          <w:numId w:val="4"/>
        </w:numPr>
        <w:jc w:val="both"/>
        <w:rPr>
          <w:rStyle w:val="hgkelc"/>
          <w:rFonts w:cstheme="minorHAnsi"/>
        </w:rPr>
      </w:pPr>
      <w:r w:rsidRPr="00F2263C">
        <w:rPr>
          <w:rStyle w:val="hgkelc"/>
          <w:rFonts w:cstheme="minorHAnsi"/>
        </w:rPr>
        <w:t>C</w:t>
      </w:r>
      <w:r w:rsidR="00E62794" w:rsidRPr="00F2263C">
        <w:rPr>
          <w:rStyle w:val="hgkelc"/>
          <w:rFonts w:cstheme="minorHAnsi"/>
        </w:rPr>
        <w:t>oop</w:t>
      </w:r>
      <w:r w:rsidRPr="00F2263C">
        <w:rPr>
          <w:rStyle w:val="hgkelc"/>
          <w:rFonts w:cstheme="minorHAnsi"/>
        </w:rPr>
        <w:t>eración n</w:t>
      </w:r>
      <w:r w:rsidR="00E62794" w:rsidRPr="00F2263C">
        <w:rPr>
          <w:rStyle w:val="hgkelc"/>
          <w:rFonts w:cstheme="minorHAnsi"/>
        </w:rPr>
        <w:t>uclear civil.</w:t>
      </w:r>
    </w:p>
    <w:p w14:paraId="451DF349" w14:textId="77777777" w:rsidR="004C58B4" w:rsidRPr="00F2263C" w:rsidRDefault="004C58B4" w:rsidP="004C58B4">
      <w:pPr>
        <w:pStyle w:val="Prrafodelista"/>
        <w:jc w:val="both"/>
        <w:rPr>
          <w:rStyle w:val="hgkelc"/>
          <w:rFonts w:cstheme="minorHAnsi"/>
        </w:rPr>
      </w:pPr>
    </w:p>
    <w:p w14:paraId="7A06968A" w14:textId="697E59A9" w:rsidR="00B227BF" w:rsidRPr="00B227BF" w:rsidRDefault="00B227BF" w:rsidP="004C58B4">
      <w:pPr>
        <w:jc w:val="both"/>
        <w:rPr>
          <w:b/>
          <w:bCs/>
        </w:rPr>
      </w:pPr>
      <w:r w:rsidRPr="00B227BF">
        <w:rPr>
          <w:b/>
          <w:bCs/>
        </w:rPr>
        <w:t>PRINCIPIO DE ACUERDO ENTRE ESPAÑA Y EL REINO UNIDO SOBRE GIBRALTAR</w:t>
      </w:r>
    </w:p>
    <w:p w14:paraId="0A9E01CE" w14:textId="601E4F71" w:rsidR="00B227BF" w:rsidRDefault="00265A08" w:rsidP="004C58B4">
      <w:pPr>
        <w:pStyle w:val="Prrafodelista"/>
        <w:numPr>
          <w:ilvl w:val="0"/>
          <w:numId w:val="3"/>
        </w:numPr>
        <w:jc w:val="both"/>
      </w:pPr>
      <w:r>
        <w:t xml:space="preserve">El coste de un no acuerdo sería muy elevado. Se habría consolidado la separación del territorio y los ciudadanos de Gibraltar del resto de España. </w:t>
      </w:r>
    </w:p>
    <w:p w14:paraId="5CAEE0D4" w14:textId="77777777" w:rsidR="00607ED5" w:rsidRDefault="00607ED5" w:rsidP="004C58B4">
      <w:pPr>
        <w:pStyle w:val="Prrafodelista"/>
        <w:ind w:left="360"/>
        <w:jc w:val="both"/>
      </w:pPr>
    </w:p>
    <w:p w14:paraId="57F4D68A" w14:textId="362A90E1" w:rsidR="00E12583" w:rsidRDefault="00376859" w:rsidP="004C58B4">
      <w:pPr>
        <w:pStyle w:val="Prrafodelista"/>
        <w:numPr>
          <w:ilvl w:val="0"/>
          <w:numId w:val="3"/>
        </w:numPr>
        <w:jc w:val="both"/>
      </w:pPr>
      <w:r>
        <w:t xml:space="preserve">Gracias al acuerdo, España </w:t>
      </w:r>
      <w:r w:rsidR="00E12583">
        <w:t>recupera protagonismo en asuntos de Gibraltar.</w:t>
      </w:r>
      <w:r w:rsidR="00607ED5">
        <w:t xml:space="preserve"> </w:t>
      </w:r>
      <w:r w:rsidR="00E12583">
        <w:t>El principio de acuerdo alcanzado supone un punto de inflexión en la larga historia de las relaciones bilaterales con R</w:t>
      </w:r>
      <w:r w:rsidR="00231D44">
        <w:t xml:space="preserve">eino </w:t>
      </w:r>
      <w:r w:rsidR="00E12583">
        <w:t>U</w:t>
      </w:r>
      <w:r w:rsidR="00231D44">
        <w:t>nido</w:t>
      </w:r>
      <w:r w:rsidR="00E12583">
        <w:t xml:space="preserve"> en lo relativo a Gibraltar.</w:t>
      </w:r>
    </w:p>
    <w:p w14:paraId="6B5DCC54" w14:textId="77777777" w:rsidR="00607ED5" w:rsidRDefault="00607ED5" w:rsidP="004C58B4">
      <w:pPr>
        <w:pStyle w:val="Prrafodelista"/>
        <w:ind w:left="360"/>
        <w:jc w:val="both"/>
      </w:pPr>
    </w:p>
    <w:p w14:paraId="79CA1F48" w14:textId="24ABBC26" w:rsidR="00E12583" w:rsidRDefault="00E12583" w:rsidP="004C58B4">
      <w:pPr>
        <w:pStyle w:val="Prrafodelista"/>
        <w:numPr>
          <w:ilvl w:val="0"/>
          <w:numId w:val="3"/>
        </w:numPr>
        <w:jc w:val="both"/>
      </w:pPr>
      <w:r>
        <w:t xml:space="preserve">Esta nueva relación se asienta sobre tres premisas: </w:t>
      </w:r>
    </w:p>
    <w:p w14:paraId="3C8691E2" w14:textId="5BE8F94E" w:rsidR="00265A08" w:rsidRDefault="00E12583" w:rsidP="004C58B4">
      <w:pPr>
        <w:pStyle w:val="Prrafodelista"/>
        <w:numPr>
          <w:ilvl w:val="0"/>
          <w:numId w:val="7"/>
        </w:numPr>
        <w:jc w:val="both"/>
      </w:pPr>
      <w:r>
        <w:t>Consumación de la retirada del R</w:t>
      </w:r>
      <w:r w:rsidR="00DD6B68">
        <w:t xml:space="preserve">eino </w:t>
      </w:r>
      <w:r>
        <w:t>U</w:t>
      </w:r>
      <w:r w:rsidR="00DD6B68">
        <w:t>nido</w:t>
      </w:r>
      <w:r>
        <w:t xml:space="preserve"> de la UE</w:t>
      </w:r>
      <w:r w:rsidR="00DD6B68">
        <w:t>;</w:t>
      </w:r>
    </w:p>
    <w:p w14:paraId="73BCB617" w14:textId="13B11BBA" w:rsidR="00265A08" w:rsidRDefault="00E12583" w:rsidP="004C58B4">
      <w:pPr>
        <w:pStyle w:val="Prrafodelista"/>
        <w:numPr>
          <w:ilvl w:val="0"/>
          <w:numId w:val="7"/>
        </w:numPr>
        <w:jc w:val="both"/>
      </w:pPr>
      <w:r>
        <w:t>Voluntad de los ciudadanos del territorio de Gibraltar de permanecer en la UE</w:t>
      </w:r>
      <w:r w:rsidR="00DD6B68">
        <w:t>;</w:t>
      </w:r>
    </w:p>
    <w:p w14:paraId="11597B3D" w14:textId="0935E5C7" w:rsidR="00E12583" w:rsidRDefault="00FF0728" w:rsidP="004C58B4">
      <w:pPr>
        <w:pStyle w:val="Prrafodelista"/>
        <w:numPr>
          <w:ilvl w:val="0"/>
          <w:numId w:val="7"/>
        </w:numPr>
        <w:jc w:val="both"/>
      </w:pPr>
      <w:r>
        <w:t xml:space="preserve">Papel singular de España en la futura relación UE </w:t>
      </w:r>
      <w:r w:rsidR="00265A08">
        <w:t xml:space="preserve">– Reino Unido </w:t>
      </w:r>
      <w:r>
        <w:t xml:space="preserve">en lo relativo a Gibraltar. </w:t>
      </w:r>
    </w:p>
    <w:p w14:paraId="44A2C6BA" w14:textId="77777777" w:rsidR="00607ED5" w:rsidRDefault="00607ED5" w:rsidP="004C58B4">
      <w:pPr>
        <w:pStyle w:val="Prrafodelista"/>
        <w:ind w:left="360"/>
        <w:jc w:val="both"/>
        <w:rPr>
          <w:b/>
          <w:bCs/>
        </w:rPr>
      </w:pPr>
    </w:p>
    <w:p w14:paraId="528C694C" w14:textId="1A04C914" w:rsidR="00C66FA8" w:rsidRPr="009B466C" w:rsidRDefault="00DD6B68" w:rsidP="004C58B4">
      <w:pPr>
        <w:pStyle w:val="Prrafodelista"/>
        <w:numPr>
          <w:ilvl w:val="0"/>
          <w:numId w:val="3"/>
        </w:numPr>
        <w:jc w:val="both"/>
      </w:pPr>
      <w:r w:rsidRPr="009B466C">
        <w:t>El principio de acuerdo supone la</w:t>
      </w:r>
      <w:r w:rsidRPr="00EE34FD">
        <w:rPr>
          <w:b/>
          <w:bCs/>
        </w:rPr>
        <w:t xml:space="preserve"> a</w:t>
      </w:r>
      <w:r w:rsidR="00C66FA8" w:rsidRPr="00EE34FD">
        <w:rPr>
          <w:b/>
          <w:bCs/>
        </w:rPr>
        <w:t>plicación a Gibraltar de políticas y programas de la UE</w:t>
      </w:r>
      <w:r w:rsidR="00EE34FD" w:rsidRPr="00EE34FD">
        <w:rPr>
          <w:b/>
          <w:bCs/>
        </w:rPr>
        <w:t xml:space="preserve">, </w:t>
      </w:r>
      <w:r w:rsidR="00C66FA8" w:rsidRPr="009B466C">
        <w:t>como Schengen, un</w:t>
      </w:r>
      <w:r w:rsidR="00C66FA8" w:rsidRPr="00EE34FD">
        <w:rPr>
          <w:b/>
          <w:bCs/>
        </w:rPr>
        <w:t xml:space="preserve"> régimen aduanero </w:t>
      </w:r>
      <w:r w:rsidR="00EE34FD" w:rsidRPr="009B466C">
        <w:t xml:space="preserve">para el tráfico de mercancías y medidas en materia de transporte y medioambiente. Asimismo, garantizar la competencia leal en fiscalidad, medioambiente y cuestiones laborales. </w:t>
      </w:r>
    </w:p>
    <w:p w14:paraId="4F02D130" w14:textId="77777777" w:rsidR="00607ED5" w:rsidRDefault="00607ED5" w:rsidP="004C58B4">
      <w:pPr>
        <w:pStyle w:val="Prrafodelista"/>
        <w:ind w:left="360"/>
        <w:jc w:val="both"/>
      </w:pPr>
    </w:p>
    <w:p w14:paraId="4CC6A31E" w14:textId="29AC66FA" w:rsidR="00C66FA8" w:rsidRDefault="00C66FA8" w:rsidP="004C58B4">
      <w:pPr>
        <w:pStyle w:val="Prrafodelista"/>
        <w:numPr>
          <w:ilvl w:val="0"/>
          <w:numId w:val="3"/>
        </w:numPr>
        <w:jc w:val="both"/>
      </w:pPr>
      <w:r>
        <w:t>Elementos principales del acuerdo entre E</w:t>
      </w:r>
      <w:r w:rsidR="009B466C">
        <w:t xml:space="preserve">spaña </w:t>
      </w:r>
      <w:r>
        <w:t>y R</w:t>
      </w:r>
      <w:r w:rsidR="009B466C">
        <w:t xml:space="preserve">eino </w:t>
      </w:r>
      <w:r>
        <w:t>U</w:t>
      </w:r>
      <w:r w:rsidR="009B466C">
        <w:t>nido</w:t>
      </w:r>
      <w:r>
        <w:t>:</w:t>
      </w:r>
    </w:p>
    <w:p w14:paraId="505DE0C7" w14:textId="77777777" w:rsidR="002B20D7" w:rsidRDefault="00C66FA8" w:rsidP="004C58B4">
      <w:pPr>
        <w:pStyle w:val="Prrafodelista"/>
        <w:numPr>
          <w:ilvl w:val="0"/>
          <w:numId w:val="8"/>
        </w:numPr>
        <w:jc w:val="both"/>
      </w:pPr>
      <w:r>
        <w:t>Soberanía</w:t>
      </w:r>
      <w:r w:rsidR="002B20D7">
        <w:t>;</w:t>
      </w:r>
    </w:p>
    <w:p w14:paraId="0D5D2491" w14:textId="4E069B78" w:rsidR="0054658E" w:rsidRDefault="00C66FA8" w:rsidP="004C58B4">
      <w:pPr>
        <w:pStyle w:val="Prrafodelista"/>
        <w:numPr>
          <w:ilvl w:val="0"/>
          <w:numId w:val="8"/>
        </w:numPr>
        <w:jc w:val="both"/>
      </w:pPr>
      <w:r>
        <w:t>Movilidad</w:t>
      </w:r>
      <w:r w:rsidR="002B20D7">
        <w:t>:</w:t>
      </w:r>
      <w:r>
        <w:t xml:space="preserve"> Aplicación a Gibraltar del acervo Schengen</w:t>
      </w:r>
      <w:r w:rsidR="002B20D7">
        <w:t xml:space="preserve"> (responsabilidad de España)</w:t>
      </w:r>
      <w:r w:rsidR="005B1641">
        <w:t>;</w:t>
      </w:r>
    </w:p>
    <w:p w14:paraId="2B6DDB85" w14:textId="65365EE8" w:rsidR="00223474" w:rsidRDefault="00E914C9" w:rsidP="004C58B4">
      <w:pPr>
        <w:pStyle w:val="Prrafodelista"/>
        <w:numPr>
          <w:ilvl w:val="0"/>
          <w:numId w:val="8"/>
        </w:numPr>
        <w:jc w:val="both"/>
      </w:pPr>
      <w:r>
        <w:t xml:space="preserve">Tráfico de mercancías: </w:t>
      </w:r>
      <w:r w:rsidR="00BA27EF">
        <w:t>A</w:t>
      </w:r>
      <w:r>
        <w:t xml:space="preserve">daptación de la </w:t>
      </w:r>
      <w:r w:rsidR="0054658E">
        <w:t>U</w:t>
      </w:r>
      <w:r>
        <w:t xml:space="preserve">nión </w:t>
      </w:r>
      <w:r w:rsidR="0054658E">
        <w:t>A</w:t>
      </w:r>
      <w:r>
        <w:t xml:space="preserve">duanera entre la UE y Gibraltar </w:t>
      </w:r>
      <w:r w:rsidR="00BA27EF">
        <w:t xml:space="preserve">para </w:t>
      </w:r>
      <w:r>
        <w:t>con eliminar</w:t>
      </w:r>
      <w:r w:rsidR="00BA27EF">
        <w:t xml:space="preserve"> las</w:t>
      </w:r>
      <w:r>
        <w:t xml:space="preserve"> barreras físicas entre Gibraltar y la UE. </w:t>
      </w:r>
      <w:r w:rsidR="00ED0817">
        <w:t>Gibraltar tendrá que aplicar: A</w:t>
      </w:r>
      <w:r w:rsidR="00193785">
        <w:t xml:space="preserve">rancel exterior común europeo, legislación de la </w:t>
      </w:r>
      <w:r w:rsidR="00ED0817">
        <w:t>UE</w:t>
      </w:r>
      <w:r w:rsidR="00193785">
        <w:t xml:space="preserve"> en materia de aduanas,</w:t>
      </w:r>
      <w:r w:rsidR="008C170E">
        <w:t xml:space="preserve"> IVA e impuestos especiales, y</w:t>
      </w:r>
      <w:r w:rsidR="00193785">
        <w:t xml:space="preserve"> medidas para permitir a la UE disponer de estadísticas sobre las </w:t>
      </w:r>
      <w:r w:rsidR="00193785">
        <w:lastRenderedPageBreak/>
        <w:t>import</w:t>
      </w:r>
      <w:r w:rsidR="00ED0817">
        <w:t>aciones</w:t>
      </w:r>
      <w:r w:rsidR="00193785">
        <w:t xml:space="preserve"> a Gibraltar. </w:t>
      </w:r>
      <w:r w:rsidR="00A12586">
        <w:t xml:space="preserve">La eliminación de las barreras físicas entre España y Gibraltar requerirá un </w:t>
      </w:r>
      <w:r w:rsidR="00A12586" w:rsidRPr="005B1641">
        <w:rPr>
          <w:b/>
          <w:bCs/>
        </w:rPr>
        <w:t>alineamiento regulatorio reforzado</w:t>
      </w:r>
      <w:r w:rsidR="005B1641">
        <w:rPr>
          <w:b/>
          <w:bCs/>
        </w:rPr>
        <w:t>;</w:t>
      </w:r>
    </w:p>
    <w:p w14:paraId="3B5108D8" w14:textId="0B68484B" w:rsidR="00223474" w:rsidRDefault="00223474" w:rsidP="004C58B4">
      <w:pPr>
        <w:pStyle w:val="Prrafodelista"/>
        <w:numPr>
          <w:ilvl w:val="0"/>
          <w:numId w:val="9"/>
        </w:numPr>
        <w:jc w:val="both"/>
      </w:pPr>
      <w:r>
        <w:t xml:space="preserve">Transporte: </w:t>
      </w:r>
      <w:r w:rsidR="005B1641">
        <w:t>C</w:t>
      </w:r>
      <w:r>
        <w:t>ondiciones de competencia leal</w:t>
      </w:r>
      <w:r w:rsidR="005B1641">
        <w:t>;</w:t>
      </w:r>
    </w:p>
    <w:p w14:paraId="4CFEC46C" w14:textId="605CC58E" w:rsidR="00223474" w:rsidRDefault="00223474" w:rsidP="004C58B4">
      <w:pPr>
        <w:pStyle w:val="Prrafodelista"/>
        <w:numPr>
          <w:ilvl w:val="0"/>
          <w:numId w:val="9"/>
        </w:numPr>
        <w:jc w:val="both"/>
      </w:pPr>
      <w:r>
        <w:t xml:space="preserve">Competencia justa: </w:t>
      </w:r>
      <w:r w:rsidR="005B1641">
        <w:t>C</w:t>
      </w:r>
      <w:r>
        <w:t xml:space="preserve">apítulos en áreas donde puedan producirse distorsiones, </w:t>
      </w:r>
      <w:r w:rsidR="005B1641">
        <w:t xml:space="preserve">como </w:t>
      </w:r>
      <w:r>
        <w:t>medioambiente, ayudas de estado y asuntos sociales. Disposiciones específicas sobre IVA</w:t>
      </w:r>
      <w:r w:rsidR="005B1641">
        <w:t xml:space="preserve"> e </w:t>
      </w:r>
      <w:r>
        <w:t>impuestos especiales</w:t>
      </w:r>
      <w:r w:rsidR="00911EDA">
        <w:t>;</w:t>
      </w:r>
    </w:p>
    <w:p w14:paraId="786BD70C" w14:textId="16AD90A1" w:rsidR="005B1641" w:rsidRDefault="007127F1" w:rsidP="004C58B4">
      <w:pPr>
        <w:pStyle w:val="Prrafodelista"/>
        <w:numPr>
          <w:ilvl w:val="0"/>
          <w:numId w:val="9"/>
        </w:numPr>
        <w:jc w:val="both"/>
      </w:pPr>
      <w:r>
        <w:t>Medioambiente: Gibraltar no adoptará ninguna medida que debilite o reduzca el nivel de protección medioambiental establecido por el ordenamiento jurídico de la UE</w:t>
      </w:r>
      <w:r w:rsidR="00911EDA">
        <w:t>;</w:t>
      </w:r>
    </w:p>
    <w:p w14:paraId="6DD5ABB7" w14:textId="255DD498" w:rsidR="00911EDA" w:rsidRDefault="007127F1" w:rsidP="004C58B4">
      <w:pPr>
        <w:pStyle w:val="Prrafodelista"/>
        <w:numPr>
          <w:ilvl w:val="0"/>
          <w:numId w:val="9"/>
        </w:numPr>
        <w:jc w:val="both"/>
      </w:pPr>
      <w:r>
        <w:t xml:space="preserve">Seguridad social: </w:t>
      </w:r>
      <w:r w:rsidR="005B1641">
        <w:t>C</w:t>
      </w:r>
      <w:r>
        <w:t xml:space="preserve">oordinación en relación con los trabajadores residentes en </w:t>
      </w:r>
      <w:r w:rsidR="005B1641">
        <w:t>España</w:t>
      </w:r>
      <w:r>
        <w:t xml:space="preserve"> y empleados en G</w:t>
      </w:r>
      <w:r w:rsidR="005B1641">
        <w:t>ibraltar, y vi</w:t>
      </w:r>
      <w:r>
        <w:t>ceversa</w:t>
      </w:r>
      <w:r w:rsidR="00911EDA">
        <w:t>;</w:t>
      </w:r>
    </w:p>
    <w:p w14:paraId="31825514" w14:textId="77777777" w:rsidR="00911EDA" w:rsidRDefault="00CB3397" w:rsidP="004C58B4">
      <w:pPr>
        <w:pStyle w:val="Prrafodelista"/>
        <w:numPr>
          <w:ilvl w:val="0"/>
          <w:numId w:val="9"/>
        </w:numPr>
        <w:jc w:val="both"/>
      </w:pPr>
      <w:r>
        <w:t xml:space="preserve">Derechos de los ciudadanos: </w:t>
      </w:r>
      <w:r w:rsidR="00911EDA">
        <w:t xml:space="preserve">Capítulo que incluye a los </w:t>
      </w:r>
      <w:r>
        <w:t>trabajadores fronterizos</w:t>
      </w:r>
      <w:r w:rsidR="00911EDA">
        <w:t xml:space="preserve">; </w:t>
      </w:r>
    </w:p>
    <w:p w14:paraId="68AB2ECA" w14:textId="77777777" w:rsidR="00911EDA" w:rsidRDefault="00911EDA" w:rsidP="004C58B4">
      <w:pPr>
        <w:pStyle w:val="Prrafodelista"/>
        <w:numPr>
          <w:ilvl w:val="0"/>
          <w:numId w:val="9"/>
        </w:numPr>
        <w:jc w:val="both"/>
      </w:pPr>
      <w:r>
        <w:t>F</w:t>
      </w:r>
      <w:r w:rsidR="00CB3397">
        <w:t xml:space="preserve">lujo </w:t>
      </w:r>
      <w:r>
        <w:t>de</w:t>
      </w:r>
      <w:r w:rsidR="00CB3397">
        <w:t xml:space="preserve"> datos personales</w:t>
      </w:r>
      <w:r>
        <w:t>: Cooperación e</w:t>
      </w:r>
      <w:r w:rsidR="00CB3397">
        <w:t xml:space="preserve">ntre </w:t>
      </w:r>
      <w:r>
        <w:t>Gibraltar</w:t>
      </w:r>
      <w:r w:rsidR="00CB3397">
        <w:t xml:space="preserve"> y la </w:t>
      </w:r>
      <w:r>
        <w:t>UE;</w:t>
      </w:r>
    </w:p>
    <w:p w14:paraId="30DDF88E" w14:textId="6AC6A642" w:rsidR="003122D1" w:rsidRDefault="00B13917" w:rsidP="004C58B4">
      <w:pPr>
        <w:pStyle w:val="Prrafodelista"/>
        <w:numPr>
          <w:ilvl w:val="0"/>
          <w:numId w:val="9"/>
        </w:numPr>
        <w:jc w:val="both"/>
      </w:pPr>
      <w:r>
        <w:t xml:space="preserve">Gobernanza: Mecanismo </w:t>
      </w:r>
      <w:r w:rsidR="00911EDA">
        <w:t>q</w:t>
      </w:r>
      <w:r>
        <w:t>ue sirva para dar solución entre las diferencias.</w:t>
      </w:r>
    </w:p>
    <w:p w14:paraId="2D6243A2" w14:textId="77777777" w:rsidR="0022317C" w:rsidRDefault="0022317C" w:rsidP="004C58B4">
      <w:pPr>
        <w:pStyle w:val="Prrafodelista"/>
        <w:ind w:left="360"/>
        <w:jc w:val="both"/>
      </w:pPr>
    </w:p>
    <w:p w14:paraId="1C71BC99" w14:textId="7F8506C9" w:rsidR="00B13917" w:rsidRDefault="0022317C" w:rsidP="004C58B4">
      <w:pPr>
        <w:pStyle w:val="Prrafodelista"/>
        <w:numPr>
          <w:ilvl w:val="0"/>
          <w:numId w:val="3"/>
        </w:numPr>
        <w:jc w:val="both"/>
      </w:pPr>
      <w:r>
        <w:t xml:space="preserve">La </w:t>
      </w:r>
      <w:r w:rsidRPr="0022317C">
        <w:rPr>
          <w:b/>
          <w:bCs/>
        </w:rPr>
        <w:t>negociación y celebración del nuevo acuerdo entre la Unión Europea y el Reino Unido</w:t>
      </w:r>
      <w:r>
        <w:t xml:space="preserve"> relativo a Gibraltar tardará </w:t>
      </w:r>
      <w:r w:rsidRPr="0022317C">
        <w:rPr>
          <w:b/>
          <w:bCs/>
        </w:rPr>
        <w:t>6 meses</w:t>
      </w:r>
      <w:r>
        <w:t xml:space="preserve"> aproximadamente. </w:t>
      </w:r>
    </w:p>
    <w:p w14:paraId="225B317F" w14:textId="77777777" w:rsidR="0022317C" w:rsidRDefault="0022317C" w:rsidP="004C58B4">
      <w:pPr>
        <w:pStyle w:val="Prrafodelista"/>
        <w:ind w:left="360"/>
        <w:jc w:val="both"/>
      </w:pPr>
    </w:p>
    <w:p w14:paraId="384856AB" w14:textId="02E40549" w:rsidR="007127F1" w:rsidRDefault="00674587" w:rsidP="004C58B4">
      <w:pPr>
        <w:pStyle w:val="Prrafodelista"/>
        <w:numPr>
          <w:ilvl w:val="0"/>
          <w:numId w:val="3"/>
        </w:numPr>
        <w:jc w:val="both"/>
      </w:pPr>
      <w:r>
        <w:t xml:space="preserve">Durante este periodo, se adoptarán las medidas de adaptación </w:t>
      </w:r>
      <w:r w:rsidR="004E7C11">
        <w:t>señaladas</w:t>
      </w:r>
      <w:r>
        <w:t xml:space="preserve"> en el </w:t>
      </w:r>
      <w:r w:rsidRPr="0022317C">
        <w:rPr>
          <w:b/>
          <w:bCs/>
        </w:rPr>
        <w:t>R</w:t>
      </w:r>
      <w:r w:rsidR="0022317C" w:rsidRPr="0022317C">
        <w:rPr>
          <w:b/>
          <w:bCs/>
        </w:rPr>
        <w:t xml:space="preserve">eal </w:t>
      </w:r>
      <w:r w:rsidRPr="0022317C">
        <w:rPr>
          <w:b/>
          <w:bCs/>
        </w:rPr>
        <w:t>D</w:t>
      </w:r>
      <w:r w:rsidR="0022317C" w:rsidRPr="0022317C">
        <w:rPr>
          <w:b/>
          <w:bCs/>
        </w:rPr>
        <w:t>ecreto-</w:t>
      </w:r>
      <w:r w:rsidRPr="0022317C">
        <w:rPr>
          <w:b/>
          <w:bCs/>
        </w:rPr>
        <w:t>L</w:t>
      </w:r>
      <w:r w:rsidR="0022317C" w:rsidRPr="0022317C">
        <w:rPr>
          <w:b/>
          <w:bCs/>
        </w:rPr>
        <w:t>ey 38/2020</w:t>
      </w:r>
      <w:r w:rsidR="0022317C">
        <w:t xml:space="preserve"> del</w:t>
      </w:r>
      <w:r>
        <w:t xml:space="preserve"> 29 d</w:t>
      </w:r>
      <w:r w:rsidR="0022317C">
        <w:t>e diciembre</w:t>
      </w:r>
      <w:r w:rsidR="004E7C11">
        <w:t xml:space="preserve">, así como los elementos de flexibilidad previstos en el </w:t>
      </w:r>
      <w:r w:rsidR="004E7C11" w:rsidRPr="004E7C11">
        <w:rPr>
          <w:b/>
          <w:bCs/>
        </w:rPr>
        <w:t>ordenamiento jurídico de la UE</w:t>
      </w:r>
      <w:r w:rsidR="004E7C11">
        <w:rPr>
          <w:b/>
          <w:bCs/>
        </w:rPr>
        <w:t xml:space="preserve">. </w:t>
      </w:r>
    </w:p>
    <w:p w14:paraId="107D31CE" w14:textId="2DEC5C04" w:rsidR="00413FFC" w:rsidRDefault="00413FFC" w:rsidP="00797EA4">
      <w:pPr>
        <w:jc w:val="both"/>
      </w:pPr>
    </w:p>
    <w:p w14:paraId="210BF65B" w14:textId="6583F333" w:rsidR="00413FFC" w:rsidRDefault="00413FFC" w:rsidP="00413FFC">
      <w:pPr>
        <w:jc w:val="center"/>
      </w:pPr>
      <w:r>
        <w:t>********</w:t>
      </w:r>
    </w:p>
    <w:p w14:paraId="1215D70D" w14:textId="51273886" w:rsidR="00413FFC" w:rsidRDefault="00413FFC" w:rsidP="00413FFC">
      <w:pPr>
        <w:jc w:val="right"/>
      </w:pPr>
      <w:r>
        <w:t>Madrid, 21 de enero de 2021</w:t>
      </w:r>
    </w:p>
    <w:sectPr w:rsidR="00413FF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6CEF4" w14:textId="77777777" w:rsidR="007A7293" w:rsidRDefault="007A7293" w:rsidP="00865A22">
      <w:pPr>
        <w:spacing w:after="0" w:line="240" w:lineRule="auto"/>
      </w:pPr>
      <w:r>
        <w:separator/>
      </w:r>
    </w:p>
  </w:endnote>
  <w:endnote w:type="continuationSeparator" w:id="0">
    <w:p w14:paraId="1B6AC4C1" w14:textId="77777777" w:rsidR="007A7293" w:rsidRDefault="007A7293" w:rsidP="0086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E97E3" w14:textId="77777777" w:rsidR="007A7293" w:rsidRDefault="007A7293" w:rsidP="00865A22">
      <w:pPr>
        <w:spacing w:after="0" w:line="240" w:lineRule="auto"/>
      </w:pPr>
      <w:r>
        <w:separator/>
      </w:r>
    </w:p>
  </w:footnote>
  <w:footnote w:type="continuationSeparator" w:id="0">
    <w:p w14:paraId="07518857" w14:textId="77777777" w:rsidR="007A7293" w:rsidRDefault="007A7293" w:rsidP="00865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9CE0" w14:textId="6C3F74DA" w:rsidR="00865A22" w:rsidRDefault="00865A22">
    <w:pPr>
      <w:pStyle w:val="Encabezado"/>
    </w:pPr>
    <w:r>
      <w:rPr>
        <w:noProof/>
      </w:rPr>
      <w:drawing>
        <wp:anchor distT="0" distB="0" distL="114300" distR="114300" simplePos="0" relativeHeight="251659264" behindDoc="0" locked="0" layoutInCell="1" allowOverlap="1" wp14:anchorId="5972CFEC" wp14:editId="0A5DCB24">
          <wp:simplePos x="0" y="0"/>
          <wp:positionH relativeFrom="column">
            <wp:posOffset>-755650</wp:posOffset>
          </wp:positionH>
          <wp:positionV relativeFrom="paragraph">
            <wp:posOffset>-210185</wp:posOffset>
          </wp:positionV>
          <wp:extent cx="1911350" cy="42291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11350" cy="4229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57D9"/>
    <w:multiLevelType w:val="hybridMultilevel"/>
    <w:tmpl w:val="A0EE77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0708D3"/>
    <w:multiLevelType w:val="hybridMultilevel"/>
    <w:tmpl w:val="1868A448"/>
    <w:lvl w:ilvl="0" w:tplc="B3FC7F5A">
      <w:start w:val="20"/>
      <w:numFmt w:val="bullet"/>
      <w:lvlText w:val="-"/>
      <w:lvlJc w:val="left"/>
      <w:pPr>
        <w:ind w:left="1070" w:hanging="360"/>
      </w:pPr>
      <w:rPr>
        <w:rFonts w:ascii="Calibri" w:eastAsiaTheme="minorHAnsi" w:hAnsi="Calibri" w:cs="Calibri"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2" w15:restartNumberingAfterBreak="0">
    <w:nsid w:val="4DA45BD3"/>
    <w:multiLevelType w:val="hybridMultilevel"/>
    <w:tmpl w:val="FDCAE4FE"/>
    <w:lvl w:ilvl="0" w:tplc="0C0A000B">
      <w:start w:val="1"/>
      <w:numFmt w:val="bullet"/>
      <w:lvlText w:val=""/>
      <w:lvlJc w:val="left"/>
      <w:pPr>
        <w:ind w:left="1790" w:hanging="360"/>
      </w:pPr>
      <w:rPr>
        <w:rFonts w:ascii="Wingdings" w:hAnsi="Wingdings" w:hint="default"/>
      </w:rPr>
    </w:lvl>
    <w:lvl w:ilvl="1" w:tplc="0C0A0003" w:tentative="1">
      <w:start w:val="1"/>
      <w:numFmt w:val="bullet"/>
      <w:lvlText w:val="o"/>
      <w:lvlJc w:val="left"/>
      <w:pPr>
        <w:ind w:left="2510" w:hanging="360"/>
      </w:pPr>
      <w:rPr>
        <w:rFonts w:ascii="Courier New" w:hAnsi="Courier New" w:cs="Courier New" w:hint="default"/>
      </w:rPr>
    </w:lvl>
    <w:lvl w:ilvl="2" w:tplc="0C0A0005" w:tentative="1">
      <w:start w:val="1"/>
      <w:numFmt w:val="bullet"/>
      <w:lvlText w:val=""/>
      <w:lvlJc w:val="left"/>
      <w:pPr>
        <w:ind w:left="3230" w:hanging="360"/>
      </w:pPr>
      <w:rPr>
        <w:rFonts w:ascii="Wingdings" w:hAnsi="Wingdings" w:hint="default"/>
      </w:rPr>
    </w:lvl>
    <w:lvl w:ilvl="3" w:tplc="0C0A0001" w:tentative="1">
      <w:start w:val="1"/>
      <w:numFmt w:val="bullet"/>
      <w:lvlText w:val=""/>
      <w:lvlJc w:val="left"/>
      <w:pPr>
        <w:ind w:left="3950" w:hanging="360"/>
      </w:pPr>
      <w:rPr>
        <w:rFonts w:ascii="Symbol" w:hAnsi="Symbol" w:hint="default"/>
      </w:rPr>
    </w:lvl>
    <w:lvl w:ilvl="4" w:tplc="0C0A0003" w:tentative="1">
      <w:start w:val="1"/>
      <w:numFmt w:val="bullet"/>
      <w:lvlText w:val="o"/>
      <w:lvlJc w:val="left"/>
      <w:pPr>
        <w:ind w:left="4670" w:hanging="360"/>
      </w:pPr>
      <w:rPr>
        <w:rFonts w:ascii="Courier New" w:hAnsi="Courier New" w:cs="Courier New" w:hint="default"/>
      </w:rPr>
    </w:lvl>
    <w:lvl w:ilvl="5" w:tplc="0C0A0005" w:tentative="1">
      <w:start w:val="1"/>
      <w:numFmt w:val="bullet"/>
      <w:lvlText w:val=""/>
      <w:lvlJc w:val="left"/>
      <w:pPr>
        <w:ind w:left="5390" w:hanging="360"/>
      </w:pPr>
      <w:rPr>
        <w:rFonts w:ascii="Wingdings" w:hAnsi="Wingdings" w:hint="default"/>
      </w:rPr>
    </w:lvl>
    <w:lvl w:ilvl="6" w:tplc="0C0A0001" w:tentative="1">
      <w:start w:val="1"/>
      <w:numFmt w:val="bullet"/>
      <w:lvlText w:val=""/>
      <w:lvlJc w:val="left"/>
      <w:pPr>
        <w:ind w:left="6110" w:hanging="360"/>
      </w:pPr>
      <w:rPr>
        <w:rFonts w:ascii="Symbol" w:hAnsi="Symbol" w:hint="default"/>
      </w:rPr>
    </w:lvl>
    <w:lvl w:ilvl="7" w:tplc="0C0A0003" w:tentative="1">
      <w:start w:val="1"/>
      <w:numFmt w:val="bullet"/>
      <w:lvlText w:val="o"/>
      <w:lvlJc w:val="left"/>
      <w:pPr>
        <w:ind w:left="6830" w:hanging="360"/>
      </w:pPr>
      <w:rPr>
        <w:rFonts w:ascii="Courier New" w:hAnsi="Courier New" w:cs="Courier New" w:hint="default"/>
      </w:rPr>
    </w:lvl>
    <w:lvl w:ilvl="8" w:tplc="0C0A0005" w:tentative="1">
      <w:start w:val="1"/>
      <w:numFmt w:val="bullet"/>
      <w:lvlText w:val=""/>
      <w:lvlJc w:val="left"/>
      <w:pPr>
        <w:ind w:left="7550" w:hanging="360"/>
      </w:pPr>
      <w:rPr>
        <w:rFonts w:ascii="Wingdings" w:hAnsi="Wingdings" w:hint="default"/>
      </w:rPr>
    </w:lvl>
  </w:abstractNum>
  <w:abstractNum w:abstractNumId="3" w15:restartNumberingAfterBreak="0">
    <w:nsid w:val="57BF7F3F"/>
    <w:multiLevelType w:val="hybridMultilevel"/>
    <w:tmpl w:val="E44CC4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7105D"/>
    <w:multiLevelType w:val="hybridMultilevel"/>
    <w:tmpl w:val="66EAAD1E"/>
    <w:lvl w:ilvl="0" w:tplc="30967086">
      <w:start w:val="20"/>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687079E"/>
    <w:multiLevelType w:val="hybridMultilevel"/>
    <w:tmpl w:val="DAB877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9D3451"/>
    <w:multiLevelType w:val="hybridMultilevel"/>
    <w:tmpl w:val="CFC099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9B466A3"/>
    <w:multiLevelType w:val="hybridMultilevel"/>
    <w:tmpl w:val="2C2E5B96"/>
    <w:lvl w:ilvl="0" w:tplc="9AA8B1EC">
      <w:start w:val="20"/>
      <w:numFmt w:val="bullet"/>
      <w:lvlText w:val=""/>
      <w:lvlJc w:val="left"/>
      <w:pPr>
        <w:ind w:left="360" w:hanging="360"/>
      </w:pPr>
      <w:rPr>
        <w:rFonts w:ascii="Symbol" w:eastAsiaTheme="minorHAnsi" w:hAnsi="Symbol"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7595AE7"/>
    <w:multiLevelType w:val="hybridMultilevel"/>
    <w:tmpl w:val="E6A030CA"/>
    <w:lvl w:ilvl="0" w:tplc="6FBE5AD4">
      <w:start w:val="18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8"/>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62C"/>
    <w:rsid w:val="00031585"/>
    <w:rsid w:val="000332F8"/>
    <w:rsid w:val="000F2C2B"/>
    <w:rsid w:val="001406E9"/>
    <w:rsid w:val="00193785"/>
    <w:rsid w:val="001A2E34"/>
    <w:rsid w:val="0022317C"/>
    <w:rsid w:val="00223474"/>
    <w:rsid w:val="00231D44"/>
    <w:rsid w:val="00264827"/>
    <w:rsid w:val="00265A08"/>
    <w:rsid w:val="002B20D7"/>
    <w:rsid w:val="002E04F7"/>
    <w:rsid w:val="003122D1"/>
    <w:rsid w:val="00376859"/>
    <w:rsid w:val="00413FFC"/>
    <w:rsid w:val="004C58B4"/>
    <w:rsid w:val="004E7C11"/>
    <w:rsid w:val="004F4C12"/>
    <w:rsid w:val="00531B99"/>
    <w:rsid w:val="0054658E"/>
    <w:rsid w:val="00584D3B"/>
    <w:rsid w:val="005B1641"/>
    <w:rsid w:val="00607ED5"/>
    <w:rsid w:val="00612908"/>
    <w:rsid w:val="0061460A"/>
    <w:rsid w:val="00674587"/>
    <w:rsid w:val="00674813"/>
    <w:rsid w:val="007127F1"/>
    <w:rsid w:val="0073276A"/>
    <w:rsid w:val="00735D1E"/>
    <w:rsid w:val="00797E6C"/>
    <w:rsid w:val="00797EA4"/>
    <w:rsid w:val="007A7293"/>
    <w:rsid w:val="008208A0"/>
    <w:rsid w:val="00865A22"/>
    <w:rsid w:val="00883828"/>
    <w:rsid w:val="008C170E"/>
    <w:rsid w:val="008C3822"/>
    <w:rsid w:val="008C5E82"/>
    <w:rsid w:val="00911EDA"/>
    <w:rsid w:val="00970BA7"/>
    <w:rsid w:val="009A17FB"/>
    <w:rsid w:val="009B466C"/>
    <w:rsid w:val="00A12586"/>
    <w:rsid w:val="00A15BE9"/>
    <w:rsid w:val="00A87128"/>
    <w:rsid w:val="00AA12AA"/>
    <w:rsid w:val="00B13917"/>
    <w:rsid w:val="00B227BF"/>
    <w:rsid w:val="00BA27EF"/>
    <w:rsid w:val="00BF502D"/>
    <w:rsid w:val="00C66FA8"/>
    <w:rsid w:val="00C73F2B"/>
    <w:rsid w:val="00CB3397"/>
    <w:rsid w:val="00CE72D1"/>
    <w:rsid w:val="00CF162C"/>
    <w:rsid w:val="00D16C95"/>
    <w:rsid w:val="00D37A94"/>
    <w:rsid w:val="00D65AC4"/>
    <w:rsid w:val="00DC414B"/>
    <w:rsid w:val="00DD0624"/>
    <w:rsid w:val="00DD6B68"/>
    <w:rsid w:val="00E12583"/>
    <w:rsid w:val="00E45B22"/>
    <w:rsid w:val="00E54ACC"/>
    <w:rsid w:val="00E62794"/>
    <w:rsid w:val="00E914C9"/>
    <w:rsid w:val="00ED0817"/>
    <w:rsid w:val="00EE34FD"/>
    <w:rsid w:val="00EF25D4"/>
    <w:rsid w:val="00F0201F"/>
    <w:rsid w:val="00F2263C"/>
    <w:rsid w:val="00FF07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4F00"/>
  <w15:chartTrackingRefBased/>
  <w15:docId w15:val="{21606EF8-60E0-469D-A0DA-53814782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73F2B"/>
    <w:rPr>
      <w:b/>
      <w:bCs/>
    </w:rPr>
  </w:style>
  <w:style w:type="paragraph" w:styleId="Encabezado">
    <w:name w:val="header"/>
    <w:basedOn w:val="Normal"/>
    <w:link w:val="EncabezadoCar"/>
    <w:uiPriority w:val="99"/>
    <w:unhideWhenUsed/>
    <w:rsid w:val="00865A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5A22"/>
  </w:style>
  <w:style w:type="paragraph" w:styleId="Piedepgina">
    <w:name w:val="footer"/>
    <w:basedOn w:val="Normal"/>
    <w:link w:val="PiedepginaCar"/>
    <w:uiPriority w:val="99"/>
    <w:unhideWhenUsed/>
    <w:rsid w:val="00865A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5A22"/>
  </w:style>
  <w:style w:type="character" w:customStyle="1" w:styleId="hgkelc">
    <w:name w:val="hgkelc"/>
    <w:basedOn w:val="Fuentedeprrafopredeter"/>
    <w:rsid w:val="00865A22"/>
  </w:style>
  <w:style w:type="table" w:styleId="Tablaconcuadrcula">
    <w:name w:val="Table Grid"/>
    <w:basedOn w:val="Tablanormal"/>
    <w:uiPriority w:val="39"/>
    <w:rsid w:val="00865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2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568</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Iglesias</dc:creator>
  <cp:keywords/>
  <dc:description/>
  <cp:lastModifiedBy>María Iglesias</cp:lastModifiedBy>
  <cp:revision>59</cp:revision>
  <dcterms:created xsi:type="dcterms:W3CDTF">2021-01-20T08:56:00Z</dcterms:created>
  <dcterms:modified xsi:type="dcterms:W3CDTF">2021-01-21T11:02:00Z</dcterms:modified>
</cp:coreProperties>
</file>