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6341" w14:textId="6C0E68B4" w:rsidR="00601B59" w:rsidRPr="00B46E05" w:rsidRDefault="00601B59" w:rsidP="00B46E05">
      <w:pPr>
        <w:pBdr>
          <w:top w:val="single" w:sz="4" w:space="1" w:color="auto"/>
          <w:left w:val="single" w:sz="4" w:space="4" w:color="auto"/>
          <w:bottom w:val="single" w:sz="4" w:space="1" w:color="auto"/>
          <w:right w:val="single" w:sz="4" w:space="4" w:color="auto"/>
        </w:pBdr>
        <w:jc w:val="center"/>
        <w:rPr>
          <w:rFonts w:ascii="Poppins" w:hAnsi="Poppins" w:cs="Poppins"/>
          <w:b/>
          <w:bCs/>
          <w:sz w:val="20"/>
          <w:szCs w:val="20"/>
        </w:rPr>
      </w:pPr>
      <w:r w:rsidRPr="00B46E05">
        <w:rPr>
          <w:rFonts w:ascii="Poppins" w:hAnsi="Poppins" w:cs="Poppins"/>
          <w:b/>
          <w:bCs/>
          <w:sz w:val="20"/>
          <w:szCs w:val="20"/>
        </w:rPr>
        <w:t>Reunión BusinessEurope</w:t>
      </w:r>
    </w:p>
    <w:p w14:paraId="5821E363" w14:textId="7FD3C4D0" w:rsidR="00601B59" w:rsidRPr="00B46E05" w:rsidRDefault="00601B59" w:rsidP="00B46E05">
      <w:pPr>
        <w:pBdr>
          <w:top w:val="single" w:sz="4" w:space="1" w:color="auto"/>
          <w:left w:val="single" w:sz="4" w:space="4" w:color="auto"/>
          <w:bottom w:val="single" w:sz="4" w:space="1" w:color="auto"/>
          <w:right w:val="single" w:sz="4" w:space="4" w:color="auto"/>
        </w:pBdr>
        <w:jc w:val="center"/>
        <w:rPr>
          <w:rFonts w:ascii="Poppins" w:hAnsi="Poppins" w:cs="Poppins"/>
          <w:b/>
          <w:bCs/>
          <w:sz w:val="20"/>
          <w:szCs w:val="20"/>
        </w:rPr>
      </w:pPr>
      <w:r w:rsidRPr="00B46E05">
        <w:rPr>
          <w:rFonts w:ascii="Poppins" w:hAnsi="Poppins" w:cs="Poppins"/>
          <w:b/>
          <w:bCs/>
          <w:sz w:val="20"/>
          <w:szCs w:val="20"/>
        </w:rPr>
        <w:t>CAI – China</w:t>
      </w:r>
    </w:p>
    <w:p w14:paraId="167AAC26" w14:textId="7A32507A" w:rsidR="00601B59" w:rsidRPr="00B46E05" w:rsidRDefault="00601B59" w:rsidP="00B46E05">
      <w:pPr>
        <w:pBdr>
          <w:top w:val="single" w:sz="4" w:space="1" w:color="auto"/>
          <w:left w:val="single" w:sz="4" w:space="4" w:color="auto"/>
          <w:bottom w:val="single" w:sz="4" w:space="1" w:color="auto"/>
          <w:right w:val="single" w:sz="4" w:space="4" w:color="auto"/>
        </w:pBdr>
        <w:jc w:val="center"/>
        <w:rPr>
          <w:rFonts w:ascii="Poppins" w:hAnsi="Poppins" w:cs="Poppins"/>
          <w:i/>
          <w:iCs/>
          <w:sz w:val="20"/>
          <w:szCs w:val="20"/>
        </w:rPr>
      </w:pPr>
      <w:r w:rsidRPr="00B46E05">
        <w:rPr>
          <w:rFonts w:ascii="Poppins" w:hAnsi="Poppins" w:cs="Poppins"/>
          <w:i/>
          <w:iCs/>
          <w:sz w:val="20"/>
          <w:szCs w:val="20"/>
        </w:rPr>
        <w:t>19 de enero de 2021</w:t>
      </w:r>
    </w:p>
    <w:p w14:paraId="6BDC5EAC" w14:textId="70C506C9" w:rsidR="00B46E05" w:rsidRDefault="00B46E05" w:rsidP="005B343E">
      <w:pPr>
        <w:pStyle w:val="Prrafodelista"/>
        <w:numPr>
          <w:ilvl w:val="0"/>
          <w:numId w:val="2"/>
        </w:numPr>
        <w:spacing w:line="256" w:lineRule="auto"/>
        <w:ind w:left="567"/>
        <w:jc w:val="both"/>
        <w:rPr>
          <w:rFonts w:ascii="Poppins" w:hAnsi="Poppins" w:cs="Poppins"/>
          <w:b/>
          <w:bCs/>
          <w:i/>
          <w:iCs/>
          <w:sz w:val="20"/>
          <w:szCs w:val="20"/>
          <w:lang w:val="en-US"/>
        </w:rPr>
      </w:pPr>
      <w:r>
        <w:rPr>
          <w:rFonts w:ascii="Poppins" w:hAnsi="Poppins" w:cs="Poppins"/>
          <w:b/>
          <w:bCs/>
          <w:i/>
          <w:iCs/>
          <w:sz w:val="20"/>
          <w:szCs w:val="20"/>
          <w:lang w:val="en-US"/>
        </w:rPr>
        <w:t>Maria Martin-Pratt, Director, Asia (I), DG Trade and Chief negotiator for the Comprehensive Agreement on Investment</w:t>
      </w:r>
    </w:p>
    <w:p w14:paraId="51A22E6D" w14:textId="67AD83E8" w:rsidR="00200A6C" w:rsidRPr="00200A6C" w:rsidRDefault="00200A6C" w:rsidP="00200A6C">
      <w:pPr>
        <w:spacing w:line="256" w:lineRule="auto"/>
        <w:ind w:left="-153"/>
        <w:jc w:val="both"/>
        <w:rPr>
          <w:rFonts w:ascii="Poppins" w:hAnsi="Poppins" w:cs="Poppins"/>
          <w:b/>
          <w:bCs/>
          <w:i/>
          <w:iCs/>
          <w:sz w:val="20"/>
          <w:szCs w:val="20"/>
          <w:u w:val="single"/>
        </w:rPr>
      </w:pPr>
      <w:r w:rsidRPr="00200A6C">
        <w:rPr>
          <w:rFonts w:ascii="Poppins" w:hAnsi="Poppins" w:cs="Poppins"/>
          <w:b/>
          <w:bCs/>
          <w:i/>
          <w:iCs/>
          <w:sz w:val="20"/>
          <w:szCs w:val="20"/>
          <w:u w:val="single"/>
        </w:rPr>
        <w:t>Cuestiones no cubiertas por el Acuerdo</w:t>
      </w:r>
    </w:p>
    <w:p w14:paraId="5172030B" w14:textId="06AA3A5E" w:rsidR="00601B59" w:rsidRDefault="00B46E05" w:rsidP="005B343E">
      <w:pPr>
        <w:pStyle w:val="Prrafodelista"/>
        <w:numPr>
          <w:ilvl w:val="0"/>
          <w:numId w:val="5"/>
        </w:numPr>
        <w:jc w:val="both"/>
        <w:rPr>
          <w:rFonts w:ascii="Poppins" w:hAnsi="Poppins" w:cs="Poppins"/>
          <w:sz w:val="20"/>
          <w:szCs w:val="20"/>
        </w:rPr>
      </w:pPr>
      <w:r w:rsidRPr="005B343E">
        <w:rPr>
          <w:rFonts w:ascii="Poppins" w:hAnsi="Poppins" w:cs="Poppins"/>
          <w:sz w:val="20"/>
          <w:szCs w:val="20"/>
        </w:rPr>
        <w:t>Por un lado, el Acuerdo</w:t>
      </w:r>
      <w:r w:rsidR="005B343E">
        <w:rPr>
          <w:rFonts w:ascii="Poppins" w:hAnsi="Poppins" w:cs="Poppins"/>
          <w:sz w:val="20"/>
          <w:szCs w:val="20"/>
        </w:rPr>
        <w:t xml:space="preserve"> de Inversiones</w:t>
      </w:r>
      <w:r w:rsidRPr="005B343E">
        <w:rPr>
          <w:rFonts w:ascii="Poppins" w:hAnsi="Poppins" w:cs="Poppins"/>
          <w:sz w:val="20"/>
          <w:szCs w:val="20"/>
        </w:rPr>
        <w:t xml:space="preserve"> </w:t>
      </w:r>
      <w:r w:rsidR="005B343E">
        <w:rPr>
          <w:rFonts w:ascii="Poppins" w:hAnsi="Poppins" w:cs="Poppins"/>
          <w:sz w:val="20"/>
          <w:szCs w:val="20"/>
        </w:rPr>
        <w:t xml:space="preserve">no contempla, </w:t>
      </w:r>
      <w:r w:rsidRPr="005B343E">
        <w:rPr>
          <w:rFonts w:ascii="Poppins" w:hAnsi="Poppins" w:cs="Poppins"/>
          <w:sz w:val="20"/>
          <w:szCs w:val="20"/>
        </w:rPr>
        <w:t>de forma intencionada</w:t>
      </w:r>
      <w:r w:rsidR="005B343E">
        <w:rPr>
          <w:rFonts w:ascii="Poppins" w:hAnsi="Poppins" w:cs="Poppins"/>
          <w:sz w:val="20"/>
          <w:szCs w:val="20"/>
        </w:rPr>
        <w:t>,</w:t>
      </w:r>
      <w:r w:rsidRPr="005B343E">
        <w:rPr>
          <w:rFonts w:ascii="Poppins" w:hAnsi="Poppins" w:cs="Poppins"/>
          <w:sz w:val="20"/>
          <w:szCs w:val="20"/>
        </w:rPr>
        <w:t xml:space="preserve"> cuestiones </w:t>
      </w:r>
      <w:r w:rsidR="005B343E">
        <w:rPr>
          <w:rFonts w:ascii="Poppins" w:hAnsi="Poppins" w:cs="Poppins"/>
          <w:sz w:val="20"/>
          <w:szCs w:val="20"/>
        </w:rPr>
        <w:t>relativas</w:t>
      </w:r>
      <w:r w:rsidRPr="005B343E">
        <w:rPr>
          <w:rFonts w:ascii="Poppins" w:hAnsi="Poppins" w:cs="Poppins"/>
          <w:sz w:val="20"/>
          <w:szCs w:val="20"/>
        </w:rPr>
        <w:t xml:space="preserve"> al intercambio de bienes y servicios, propio de los ALC. Por otro lado, </w:t>
      </w:r>
      <w:r w:rsidR="005B343E">
        <w:rPr>
          <w:rFonts w:ascii="Poppins" w:hAnsi="Poppins" w:cs="Poppins"/>
          <w:sz w:val="20"/>
          <w:szCs w:val="20"/>
        </w:rPr>
        <w:t xml:space="preserve">se ha tomado la decisión de apartar de la negociación la </w:t>
      </w:r>
      <w:r w:rsidR="005B343E" w:rsidRPr="005B343E">
        <w:rPr>
          <w:rFonts w:ascii="Poppins" w:hAnsi="Poppins" w:cs="Poppins"/>
          <w:b/>
          <w:bCs/>
          <w:sz w:val="20"/>
          <w:szCs w:val="20"/>
        </w:rPr>
        <w:t>Protección de Inversiones y un Sistema de solución de disputas para inversores Estado-Estado</w:t>
      </w:r>
      <w:r w:rsidR="005B343E">
        <w:rPr>
          <w:rFonts w:ascii="Poppins" w:hAnsi="Poppins" w:cs="Poppins"/>
          <w:sz w:val="20"/>
          <w:szCs w:val="20"/>
        </w:rPr>
        <w:t xml:space="preserve">, con la intención de continuar con la negociación de estos dos aspectos. Se espera que estas negociaciones se concluyan en un plazo de dos años desde el momento de la firma del CAI. </w:t>
      </w:r>
    </w:p>
    <w:p w14:paraId="43942F4D" w14:textId="72DC9736" w:rsidR="005B343E" w:rsidRDefault="005B343E" w:rsidP="005B343E">
      <w:pPr>
        <w:pStyle w:val="Prrafodelista"/>
        <w:numPr>
          <w:ilvl w:val="0"/>
          <w:numId w:val="5"/>
        </w:numPr>
        <w:jc w:val="both"/>
        <w:rPr>
          <w:rFonts w:ascii="Poppins" w:hAnsi="Poppins" w:cs="Poppins"/>
          <w:sz w:val="20"/>
          <w:szCs w:val="20"/>
        </w:rPr>
      </w:pPr>
      <w:r>
        <w:rPr>
          <w:rFonts w:ascii="Poppins" w:hAnsi="Poppins" w:cs="Poppins"/>
          <w:sz w:val="20"/>
          <w:szCs w:val="20"/>
        </w:rPr>
        <w:t xml:space="preserve">Por tanto, el CAI constituye un </w:t>
      </w:r>
      <w:r w:rsidRPr="005B343E">
        <w:rPr>
          <w:rFonts w:ascii="Poppins" w:hAnsi="Poppins" w:cs="Poppins"/>
          <w:b/>
          <w:bCs/>
          <w:sz w:val="20"/>
          <w:szCs w:val="20"/>
        </w:rPr>
        <w:t>EU Only</w:t>
      </w:r>
      <w:r>
        <w:rPr>
          <w:rFonts w:ascii="Poppins" w:hAnsi="Poppins" w:cs="Poppins"/>
          <w:sz w:val="20"/>
          <w:szCs w:val="20"/>
        </w:rPr>
        <w:t xml:space="preserve">, lo que implica que la ratificación del acuerdo será competencia de la UE y no tendrá que someterse a la ratificación de los parlamentos nacionales. </w:t>
      </w:r>
    </w:p>
    <w:p w14:paraId="13A1F49F" w14:textId="4B8DEEE1" w:rsidR="005B343E" w:rsidRDefault="005B343E" w:rsidP="005B343E">
      <w:pPr>
        <w:pStyle w:val="Prrafodelista"/>
        <w:numPr>
          <w:ilvl w:val="0"/>
          <w:numId w:val="5"/>
        </w:numPr>
        <w:jc w:val="both"/>
        <w:rPr>
          <w:rFonts w:ascii="Poppins" w:hAnsi="Poppins" w:cs="Poppins"/>
          <w:sz w:val="20"/>
          <w:szCs w:val="20"/>
        </w:rPr>
      </w:pPr>
      <w:r>
        <w:rPr>
          <w:rFonts w:ascii="Poppins" w:hAnsi="Poppins" w:cs="Poppins"/>
          <w:sz w:val="20"/>
          <w:szCs w:val="20"/>
        </w:rPr>
        <w:t xml:space="preserve">El </w:t>
      </w:r>
      <w:r w:rsidRPr="005B343E">
        <w:rPr>
          <w:rFonts w:ascii="Poppins" w:hAnsi="Poppins" w:cs="Poppins"/>
          <w:b/>
          <w:bCs/>
          <w:sz w:val="20"/>
          <w:szCs w:val="20"/>
        </w:rPr>
        <w:t>viernes 22</w:t>
      </w:r>
      <w:r>
        <w:rPr>
          <w:rFonts w:ascii="Poppins" w:hAnsi="Poppins" w:cs="Poppins"/>
          <w:sz w:val="20"/>
          <w:szCs w:val="20"/>
        </w:rPr>
        <w:t xml:space="preserve"> de enero se hará público el texto del acuerdo. Los Anexos (que contienen las ofertas realizadas) serán publicado a mediados del mes de febrero. </w:t>
      </w:r>
    </w:p>
    <w:p w14:paraId="1F121990" w14:textId="5C6C6647" w:rsidR="00200A6C" w:rsidRPr="00200A6C" w:rsidRDefault="00200A6C" w:rsidP="00200A6C">
      <w:pPr>
        <w:jc w:val="both"/>
        <w:rPr>
          <w:rFonts w:ascii="Poppins" w:hAnsi="Poppins" w:cs="Poppins"/>
          <w:b/>
          <w:bCs/>
          <w:i/>
          <w:iCs/>
          <w:sz w:val="20"/>
          <w:szCs w:val="20"/>
          <w:u w:val="single"/>
        </w:rPr>
      </w:pPr>
      <w:r w:rsidRPr="00200A6C">
        <w:rPr>
          <w:rFonts w:ascii="Poppins" w:hAnsi="Poppins" w:cs="Poppins"/>
          <w:b/>
          <w:bCs/>
          <w:i/>
          <w:iCs/>
          <w:sz w:val="20"/>
          <w:szCs w:val="20"/>
          <w:u w:val="single"/>
        </w:rPr>
        <w:t>Proceso de negociación y próximo</w:t>
      </w:r>
      <w:r>
        <w:rPr>
          <w:rFonts w:ascii="Poppins" w:hAnsi="Poppins" w:cs="Poppins"/>
          <w:b/>
          <w:bCs/>
          <w:i/>
          <w:iCs/>
          <w:sz w:val="20"/>
          <w:szCs w:val="20"/>
          <w:u w:val="single"/>
        </w:rPr>
        <w:t>s</w:t>
      </w:r>
      <w:r w:rsidRPr="00200A6C">
        <w:rPr>
          <w:rFonts w:ascii="Poppins" w:hAnsi="Poppins" w:cs="Poppins"/>
          <w:b/>
          <w:bCs/>
          <w:i/>
          <w:iCs/>
          <w:sz w:val="20"/>
          <w:szCs w:val="20"/>
          <w:u w:val="single"/>
        </w:rPr>
        <w:t xml:space="preserve"> pasos </w:t>
      </w:r>
    </w:p>
    <w:p w14:paraId="28944B9C" w14:textId="572991A3" w:rsidR="005B343E" w:rsidRPr="005B343E" w:rsidRDefault="003C3846" w:rsidP="005B343E">
      <w:pPr>
        <w:pStyle w:val="Prrafodelista"/>
        <w:numPr>
          <w:ilvl w:val="0"/>
          <w:numId w:val="5"/>
        </w:numPr>
        <w:jc w:val="both"/>
        <w:rPr>
          <w:rFonts w:ascii="Poppins" w:hAnsi="Poppins" w:cs="Poppins"/>
          <w:sz w:val="20"/>
          <w:szCs w:val="20"/>
        </w:rPr>
      </w:pPr>
      <w:r w:rsidRPr="003C3846">
        <w:rPr>
          <w:rFonts w:ascii="Poppins" w:hAnsi="Poppins" w:cs="Poppins"/>
          <w:b/>
          <w:bCs/>
          <w:sz w:val="20"/>
          <w:szCs w:val="20"/>
        </w:rPr>
        <w:t>Proceso de negociación y próximos pasos</w:t>
      </w:r>
      <w:r>
        <w:rPr>
          <w:rFonts w:ascii="Poppins" w:hAnsi="Poppins" w:cs="Poppins"/>
          <w:sz w:val="20"/>
          <w:szCs w:val="20"/>
        </w:rPr>
        <w:t xml:space="preserve">: Las negociaciones políticas al más alto nivel sucedieron justo después de navidad y se contó con el total apoyo de los Estado Miembros. No es un acuerdo “apresurado”. </w:t>
      </w:r>
      <w:r w:rsidR="00F93A30">
        <w:rPr>
          <w:rFonts w:ascii="Poppins" w:hAnsi="Poppins" w:cs="Poppins"/>
          <w:sz w:val="20"/>
          <w:szCs w:val="20"/>
        </w:rPr>
        <w:t>Se ha alcanzado la conclusión política , ahora debe someterse al Parlamento y Consejo para su ratificación</w:t>
      </w:r>
      <w:r w:rsidR="00200A6C">
        <w:rPr>
          <w:rFonts w:ascii="Poppins" w:hAnsi="Poppins" w:cs="Poppins"/>
          <w:sz w:val="20"/>
          <w:szCs w:val="20"/>
        </w:rPr>
        <w:t xml:space="preserve">. Debe realizarse la traducción de los textos y el “legal scrubbing”. </w:t>
      </w:r>
    </w:p>
    <w:p w14:paraId="532236EA" w14:textId="41598730" w:rsidR="00200A6C" w:rsidRPr="0004379D" w:rsidRDefault="00200A6C">
      <w:pPr>
        <w:rPr>
          <w:rFonts w:ascii="Poppins" w:hAnsi="Poppins" w:cs="Poppins"/>
          <w:b/>
          <w:bCs/>
          <w:i/>
          <w:iCs/>
          <w:sz w:val="20"/>
          <w:szCs w:val="20"/>
          <w:u w:val="single"/>
        </w:rPr>
      </w:pPr>
      <w:r w:rsidRPr="0004379D">
        <w:rPr>
          <w:rFonts w:ascii="Poppins" w:hAnsi="Poppins" w:cs="Poppins"/>
          <w:b/>
          <w:bCs/>
          <w:i/>
          <w:iCs/>
          <w:sz w:val="20"/>
          <w:szCs w:val="20"/>
          <w:u w:val="single"/>
        </w:rPr>
        <w:t xml:space="preserve">Contenido del Acuerdo </w:t>
      </w:r>
    </w:p>
    <w:p w14:paraId="1BFB3AF1" w14:textId="763EF727" w:rsidR="00505E4C" w:rsidRDefault="0004379D" w:rsidP="0004379D">
      <w:pPr>
        <w:rPr>
          <w:rFonts w:ascii="Poppins" w:hAnsi="Poppins" w:cs="Poppins"/>
          <w:b/>
          <w:bCs/>
          <w:sz w:val="20"/>
          <w:szCs w:val="20"/>
        </w:rPr>
      </w:pPr>
      <w:r w:rsidRPr="0004379D">
        <w:rPr>
          <w:rFonts w:ascii="Poppins" w:hAnsi="Poppins" w:cs="Poppins"/>
          <w:b/>
          <w:bCs/>
          <w:sz w:val="20"/>
          <w:szCs w:val="20"/>
        </w:rPr>
        <w:t xml:space="preserve">Acceso al mercado </w:t>
      </w:r>
    </w:p>
    <w:p w14:paraId="689C9B16" w14:textId="0588BD5C" w:rsidR="0004379D" w:rsidRPr="0004379D" w:rsidRDefault="0004379D" w:rsidP="0004379D">
      <w:pPr>
        <w:pStyle w:val="Prrafodelista"/>
        <w:numPr>
          <w:ilvl w:val="0"/>
          <w:numId w:val="5"/>
        </w:numPr>
        <w:jc w:val="both"/>
        <w:rPr>
          <w:rFonts w:ascii="Poppins" w:hAnsi="Poppins" w:cs="Poppins"/>
          <w:b/>
          <w:bCs/>
          <w:sz w:val="20"/>
          <w:szCs w:val="20"/>
        </w:rPr>
      </w:pPr>
      <w:r>
        <w:rPr>
          <w:rFonts w:ascii="Poppins" w:hAnsi="Poppins" w:cs="Poppins"/>
          <w:sz w:val="20"/>
          <w:szCs w:val="20"/>
        </w:rPr>
        <w:t xml:space="preserve">El objetivo ha sido tratar de equilibrar la asimetría en términos de compromisos para permitir el acceso al mercado </w:t>
      </w:r>
      <w:r w:rsidR="00A439C3">
        <w:rPr>
          <w:rFonts w:ascii="Poppins" w:hAnsi="Poppins" w:cs="Poppins"/>
          <w:sz w:val="20"/>
          <w:szCs w:val="20"/>
        </w:rPr>
        <w:t>c</w:t>
      </w:r>
      <w:r>
        <w:rPr>
          <w:rFonts w:ascii="Poppins" w:hAnsi="Poppins" w:cs="Poppins"/>
          <w:sz w:val="20"/>
          <w:szCs w:val="20"/>
        </w:rPr>
        <w:t xml:space="preserve">hino a los inversores europeos. En concreto en </w:t>
      </w:r>
      <w:r w:rsidR="001A281E">
        <w:rPr>
          <w:rFonts w:ascii="Poppins" w:hAnsi="Poppins" w:cs="Poppins"/>
          <w:sz w:val="20"/>
          <w:szCs w:val="20"/>
        </w:rPr>
        <w:t xml:space="preserve"> el </w:t>
      </w:r>
      <w:r>
        <w:rPr>
          <w:rFonts w:ascii="Poppins" w:hAnsi="Poppins" w:cs="Poppins"/>
          <w:sz w:val="20"/>
          <w:szCs w:val="20"/>
        </w:rPr>
        <w:t>área de servicios</w:t>
      </w:r>
      <w:r w:rsidR="00A439C3">
        <w:rPr>
          <w:rFonts w:ascii="Poppins" w:hAnsi="Poppins" w:cs="Poppins"/>
          <w:sz w:val="20"/>
          <w:szCs w:val="20"/>
        </w:rPr>
        <w:t xml:space="preserve">. Se incluye la inversión en los servicios de telecomunicaciones de </w:t>
      </w:r>
      <w:r w:rsidR="00A439C3" w:rsidRPr="00A439C3">
        <w:rPr>
          <w:rFonts w:ascii="Poppins" w:hAnsi="Poppins" w:cs="Poppins"/>
          <w:i/>
          <w:iCs/>
          <w:sz w:val="20"/>
          <w:szCs w:val="20"/>
        </w:rPr>
        <w:t>cloud</w:t>
      </w:r>
      <w:r w:rsidR="00A439C3">
        <w:rPr>
          <w:rFonts w:ascii="Poppins" w:hAnsi="Poppins" w:cs="Poppins"/>
          <w:i/>
          <w:iCs/>
          <w:sz w:val="20"/>
          <w:szCs w:val="20"/>
        </w:rPr>
        <w:t xml:space="preserve">. </w:t>
      </w:r>
    </w:p>
    <w:p w14:paraId="592C734C" w14:textId="2F47301D" w:rsidR="0004379D" w:rsidRPr="00A439C3" w:rsidRDefault="0004379D" w:rsidP="0004379D">
      <w:pPr>
        <w:pStyle w:val="Prrafodelista"/>
        <w:numPr>
          <w:ilvl w:val="0"/>
          <w:numId w:val="5"/>
        </w:numPr>
        <w:jc w:val="both"/>
        <w:rPr>
          <w:rFonts w:ascii="Poppins" w:hAnsi="Poppins" w:cs="Poppins"/>
          <w:b/>
          <w:bCs/>
          <w:sz w:val="20"/>
          <w:szCs w:val="20"/>
        </w:rPr>
      </w:pPr>
      <w:r>
        <w:rPr>
          <w:rFonts w:ascii="Poppins" w:hAnsi="Poppins" w:cs="Poppins"/>
          <w:sz w:val="20"/>
          <w:szCs w:val="20"/>
        </w:rPr>
        <w:t>Esta es la primera vez que China incluye sectores</w:t>
      </w:r>
      <w:r w:rsidR="00A439C3">
        <w:rPr>
          <w:rFonts w:ascii="Poppins" w:hAnsi="Poppins" w:cs="Poppins"/>
          <w:sz w:val="20"/>
          <w:szCs w:val="20"/>
        </w:rPr>
        <w:t xml:space="preserve"> (no de servicios)</w:t>
      </w:r>
      <w:r>
        <w:rPr>
          <w:rFonts w:ascii="Poppins" w:hAnsi="Poppins" w:cs="Poppins"/>
          <w:sz w:val="20"/>
          <w:szCs w:val="20"/>
        </w:rPr>
        <w:t xml:space="preserve"> como </w:t>
      </w:r>
      <w:r w:rsidR="00B728AB">
        <w:rPr>
          <w:rFonts w:ascii="Poppins" w:hAnsi="Poppins" w:cs="Poppins"/>
          <w:sz w:val="20"/>
          <w:szCs w:val="20"/>
        </w:rPr>
        <w:t xml:space="preserve">los manufactureros </w:t>
      </w:r>
      <w:r w:rsidR="00A439C3">
        <w:rPr>
          <w:rFonts w:ascii="Poppins" w:hAnsi="Poppins" w:cs="Poppins"/>
          <w:sz w:val="20"/>
          <w:szCs w:val="20"/>
        </w:rPr>
        <w:t>(coches eléctricos</w:t>
      </w:r>
      <w:r w:rsidR="00B728AB">
        <w:rPr>
          <w:rFonts w:ascii="Poppins" w:hAnsi="Poppins" w:cs="Poppins"/>
          <w:sz w:val="20"/>
          <w:szCs w:val="20"/>
        </w:rPr>
        <w:t>, agricultura, minería, energía</w:t>
      </w:r>
      <w:r w:rsidR="00A439C3">
        <w:rPr>
          <w:rFonts w:ascii="Poppins" w:hAnsi="Poppins" w:cs="Poppins"/>
          <w:sz w:val="20"/>
          <w:szCs w:val="20"/>
        </w:rPr>
        <w:t xml:space="preserve">…). También se contempla la inversión en el sector de la salud </w:t>
      </w:r>
      <w:r w:rsidR="00A439C3" w:rsidRPr="001A281E">
        <w:rPr>
          <w:rFonts w:ascii="Poppins" w:hAnsi="Poppins" w:cs="Poppins"/>
          <w:sz w:val="20"/>
          <w:szCs w:val="20"/>
        </w:rPr>
        <w:t>pública</w:t>
      </w:r>
      <w:r w:rsidR="00A439C3">
        <w:rPr>
          <w:rFonts w:ascii="Poppins" w:hAnsi="Poppins" w:cs="Poppins"/>
          <w:sz w:val="20"/>
          <w:szCs w:val="20"/>
        </w:rPr>
        <w:t xml:space="preserve"> en 5 de las ciudades mas importantes. </w:t>
      </w:r>
    </w:p>
    <w:p w14:paraId="2EE0F07D" w14:textId="0227E9D2" w:rsidR="00A439C3" w:rsidRPr="00A439C3" w:rsidRDefault="00A439C3" w:rsidP="00D26DE9">
      <w:pPr>
        <w:pStyle w:val="Prrafodelista"/>
        <w:numPr>
          <w:ilvl w:val="0"/>
          <w:numId w:val="5"/>
        </w:numPr>
        <w:jc w:val="both"/>
        <w:rPr>
          <w:rFonts w:ascii="Poppins" w:hAnsi="Poppins" w:cs="Poppins"/>
          <w:b/>
          <w:bCs/>
          <w:sz w:val="20"/>
          <w:szCs w:val="20"/>
        </w:rPr>
      </w:pPr>
      <w:r>
        <w:rPr>
          <w:rFonts w:ascii="Poppins" w:hAnsi="Poppins" w:cs="Poppins"/>
          <w:sz w:val="20"/>
          <w:szCs w:val="20"/>
        </w:rPr>
        <w:t xml:space="preserve">Se destaca que las concesiones realizadas por China son compatibles con la OMC. Se cumplirán los requerimientos MFN. </w:t>
      </w:r>
    </w:p>
    <w:p w14:paraId="5041DAE1" w14:textId="2040C5F6" w:rsidR="00A439C3" w:rsidRPr="001A281E" w:rsidRDefault="00A439C3" w:rsidP="00D26DE9">
      <w:pPr>
        <w:pStyle w:val="Prrafodelista"/>
        <w:numPr>
          <w:ilvl w:val="0"/>
          <w:numId w:val="5"/>
        </w:numPr>
        <w:jc w:val="both"/>
        <w:rPr>
          <w:rFonts w:ascii="Poppins" w:hAnsi="Poppins" w:cs="Poppins"/>
          <w:b/>
          <w:bCs/>
          <w:sz w:val="20"/>
          <w:szCs w:val="20"/>
        </w:rPr>
      </w:pPr>
      <w:r>
        <w:rPr>
          <w:rFonts w:ascii="Poppins" w:hAnsi="Poppins" w:cs="Poppins"/>
          <w:sz w:val="20"/>
          <w:szCs w:val="20"/>
        </w:rPr>
        <w:lastRenderedPageBreak/>
        <w:t xml:space="preserve">Se incluye en el capítulo de acceso a mercado un </w:t>
      </w:r>
      <w:r w:rsidRPr="001A281E">
        <w:rPr>
          <w:rFonts w:ascii="Poppins" w:hAnsi="Poppins" w:cs="Poppins"/>
          <w:sz w:val="20"/>
          <w:szCs w:val="20"/>
        </w:rPr>
        <w:t xml:space="preserve">sistema de resolución de diferencias Estado-Estado. </w:t>
      </w:r>
    </w:p>
    <w:p w14:paraId="67FFE343" w14:textId="5C570E8A" w:rsidR="009A650E" w:rsidRPr="00A439C3" w:rsidRDefault="00A439C3" w:rsidP="00D26DE9">
      <w:pPr>
        <w:jc w:val="both"/>
        <w:rPr>
          <w:rFonts w:ascii="Poppins" w:hAnsi="Poppins" w:cs="Poppins"/>
          <w:b/>
          <w:bCs/>
          <w:sz w:val="20"/>
          <w:szCs w:val="20"/>
          <w:lang w:val="en-US"/>
        </w:rPr>
      </w:pPr>
      <w:r w:rsidRPr="00A439C3">
        <w:rPr>
          <w:rFonts w:ascii="Poppins" w:hAnsi="Poppins" w:cs="Poppins"/>
          <w:b/>
          <w:bCs/>
          <w:sz w:val="20"/>
          <w:szCs w:val="20"/>
          <w:lang w:val="en-US"/>
        </w:rPr>
        <w:t xml:space="preserve">Terreno de juego equilibrado </w:t>
      </w:r>
    </w:p>
    <w:p w14:paraId="31D29D7F" w14:textId="39278C75" w:rsidR="00871CB4" w:rsidRPr="00871CB4" w:rsidRDefault="00B728AB" w:rsidP="00D26DE9">
      <w:pPr>
        <w:pStyle w:val="Prrafodelista"/>
        <w:numPr>
          <w:ilvl w:val="0"/>
          <w:numId w:val="1"/>
        </w:numPr>
        <w:jc w:val="both"/>
        <w:rPr>
          <w:rFonts w:ascii="Poppins" w:hAnsi="Poppins" w:cs="Poppins"/>
          <w:sz w:val="20"/>
          <w:szCs w:val="20"/>
        </w:rPr>
      </w:pPr>
      <w:r w:rsidRPr="00B728AB">
        <w:rPr>
          <w:rFonts w:ascii="Poppins" w:hAnsi="Poppins" w:cs="Poppins"/>
          <w:sz w:val="20"/>
          <w:szCs w:val="20"/>
        </w:rPr>
        <w:t xml:space="preserve">CAI incluye un importante capítulo en </w:t>
      </w:r>
      <w:r w:rsidRPr="00871CB4">
        <w:rPr>
          <w:rFonts w:ascii="Poppins" w:hAnsi="Poppins" w:cs="Poppins"/>
          <w:b/>
          <w:bCs/>
          <w:sz w:val="20"/>
          <w:szCs w:val="20"/>
        </w:rPr>
        <w:t>regulación doméstica</w:t>
      </w:r>
      <w:r>
        <w:rPr>
          <w:rFonts w:ascii="Poppins" w:hAnsi="Poppins" w:cs="Poppins"/>
          <w:sz w:val="20"/>
          <w:szCs w:val="20"/>
        </w:rPr>
        <w:t xml:space="preserve"> que hace referencia a los procedimientos de acreditación, a la predictibilidad y transparencia y la no arbitrariedad de los proces</w:t>
      </w:r>
      <w:r w:rsidR="00871CB4">
        <w:rPr>
          <w:rFonts w:ascii="Poppins" w:hAnsi="Poppins" w:cs="Poppins"/>
          <w:sz w:val="20"/>
          <w:szCs w:val="20"/>
        </w:rPr>
        <w:t>o</w:t>
      </w:r>
      <w:r>
        <w:rPr>
          <w:rFonts w:ascii="Poppins" w:hAnsi="Poppins" w:cs="Poppins"/>
          <w:sz w:val="20"/>
          <w:szCs w:val="20"/>
        </w:rPr>
        <w:t xml:space="preserve">s. </w:t>
      </w:r>
      <w:r w:rsidRPr="00B728AB">
        <w:rPr>
          <w:rFonts w:ascii="Poppins" w:hAnsi="Poppins" w:cs="Poppins"/>
          <w:sz w:val="20"/>
          <w:szCs w:val="20"/>
        </w:rPr>
        <w:t xml:space="preserve"> </w:t>
      </w:r>
      <w:r w:rsidR="00871CB4">
        <w:rPr>
          <w:rFonts w:ascii="Poppins" w:hAnsi="Poppins" w:cs="Poppins"/>
          <w:sz w:val="20"/>
          <w:szCs w:val="20"/>
        </w:rPr>
        <w:t xml:space="preserve">Se incluyen una guía de obligaciones de transparencia sobre competencia y el acceso no discriminatorio a Organismos de Normalización (Standard Bodies). </w:t>
      </w:r>
    </w:p>
    <w:p w14:paraId="21DD61B6" w14:textId="2B11B069" w:rsidR="00871CB4" w:rsidRPr="00871CB4" w:rsidRDefault="00871CB4" w:rsidP="00D26DE9">
      <w:pPr>
        <w:pStyle w:val="Prrafodelista"/>
        <w:numPr>
          <w:ilvl w:val="0"/>
          <w:numId w:val="1"/>
        </w:numPr>
        <w:jc w:val="both"/>
        <w:rPr>
          <w:rFonts w:ascii="Poppins" w:hAnsi="Poppins" w:cs="Poppins"/>
          <w:sz w:val="20"/>
          <w:szCs w:val="20"/>
        </w:rPr>
      </w:pPr>
      <w:r w:rsidRPr="00871CB4">
        <w:rPr>
          <w:rFonts w:ascii="Poppins" w:hAnsi="Poppins" w:cs="Poppins"/>
          <w:b/>
          <w:bCs/>
          <w:sz w:val="20"/>
          <w:szCs w:val="20"/>
        </w:rPr>
        <w:t>Transferencia forzosa de tecnología</w:t>
      </w:r>
      <w:r w:rsidRPr="00871CB4">
        <w:rPr>
          <w:rFonts w:ascii="Poppins" w:hAnsi="Poppins" w:cs="Poppins"/>
          <w:sz w:val="20"/>
          <w:szCs w:val="20"/>
        </w:rPr>
        <w:t>: mu</w:t>
      </w:r>
      <w:r>
        <w:rPr>
          <w:rFonts w:ascii="Poppins" w:hAnsi="Poppins" w:cs="Poppins"/>
          <w:sz w:val="20"/>
          <w:szCs w:val="20"/>
        </w:rPr>
        <w:t xml:space="preserve">chos de los aspectos discutidos en las conversaciones trilaterales entre la UE, Japón y los EE.UU. sobre esta cuestión, se ven reflejadas tanto en el Fase I Agreement entre EE.UU. – China como en el CAI. Se contemplan compromisos sobre libertad contractual e información confidencial. Los avances alcanzados en esta materia no solucionan todo el problema pero suponen un paso hacia delante. </w:t>
      </w:r>
    </w:p>
    <w:p w14:paraId="250A3090" w14:textId="7AE7AD8B" w:rsidR="0039573C" w:rsidRPr="0039573C" w:rsidRDefault="009A650E" w:rsidP="00D26DE9">
      <w:pPr>
        <w:pStyle w:val="Prrafodelista"/>
        <w:numPr>
          <w:ilvl w:val="0"/>
          <w:numId w:val="1"/>
        </w:numPr>
        <w:jc w:val="both"/>
        <w:rPr>
          <w:rFonts w:ascii="Poppins" w:hAnsi="Poppins" w:cs="Poppins"/>
          <w:sz w:val="20"/>
          <w:szCs w:val="20"/>
        </w:rPr>
      </w:pPr>
      <w:r w:rsidRPr="001A281E">
        <w:rPr>
          <w:rFonts w:ascii="Poppins" w:hAnsi="Poppins" w:cs="Poppins"/>
          <w:b/>
          <w:bCs/>
          <w:sz w:val="20"/>
          <w:szCs w:val="20"/>
        </w:rPr>
        <w:t>SOEs</w:t>
      </w:r>
      <w:r w:rsidR="00871CB4" w:rsidRPr="001A281E">
        <w:rPr>
          <w:rFonts w:ascii="Poppins" w:hAnsi="Poppins" w:cs="Poppins"/>
          <w:b/>
          <w:bCs/>
          <w:sz w:val="20"/>
          <w:szCs w:val="20"/>
        </w:rPr>
        <w:t xml:space="preserve"> y Subsidies</w:t>
      </w:r>
      <w:r w:rsidR="00871CB4" w:rsidRPr="001A281E">
        <w:rPr>
          <w:rFonts w:ascii="Poppins" w:hAnsi="Poppins" w:cs="Poppins"/>
          <w:sz w:val="20"/>
          <w:szCs w:val="20"/>
        </w:rPr>
        <w:t xml:space="preserve">: </w:t>
      </w:r>
      <w:r w:rsidRPr="001A281E">
        <w:rPr>
          <w:rFonts w:ascii="Poppins" w:hAnsi="Poppins" w:cs="Poppins"/>
          <w:sz w:val="20"/>
          <w:szCs w:val="20"/>
        </w:rPr>
        <w:t xml:space="preserve"> </w:t>
      </w:r>
      <w:r w:rsidR="0039573C" w:rsidRPr="001A281E">
        <w:rPr>
          <w:rFonts w:ascii="Poppins" w:hAnsi="Poppins" w:cs="Poppins"/>
          <w:sz w:val="20"/>
          <w:szCs w:val="20"/>
        </w:rPr>
        <w:t xml:space="preserve">Es la primera vez que China asume compromisos con la UE en este ámbito. </w:t>
      </w:r>
      <w:r w:rsidR="0039573C" w:rsidRPr="0039573C">
        <w:rPr>
          <w:rFonts w:ascii="Poppins" w:hAnsi="Poppins" w:cs="Poppins"/>
          <w:sz w:val="20"/>
          <w:szCs w:val="20"/>
        </w:rPr>
        <w:t>Se establecen disciplinas sobre no discriminación a la hora d</w:t>
      </w:r>
      <w:r w:rsidR="0039573C">
        <w:rPr>
          <w:rFonts w:ascii="Poppins" w:hAnsi="Poppins" w:cs="Poppins"/>
          <w:sz w:val="20"/>
          <w:szCs w:val="20"/>
        </w:rPr>
        <w:t>e comprar o vender a inversores extranjeros. Se incluye una amplia definición sobre SOEs cubriendo varios niv</w:t>
      </w:r>
      <w:r w:rsidR="0039573C" w:rsidRPr="00935EF7">
        <w:rPr>
          <w:rFonts w:ascii="Poppins" w:hAnsi="Poppins" w:cs="Poppins"/>
          <w:sz w:val="20"/>
          <w:szCs w:val="20"/>
        </w:rPr>
        <w:t xml:space="preserve">eles (no solo a nivel de administración central). </w:t>
      </w:r>
      <w:r w:rsidR="0039573C" w:rsidRPr="0039573C">
        <w:rPr>
          <w:rFonts w:ascii="Poppins" w:hAnsi="Poppins" w:cs="Poppins"/>
          <w:sz w:val="20"/>
          <w:szCs w:val="20"/>
        </w:rPr>
        <w:t xml:space="preserve">Por otro lado, el acuerdo amplía las obligaciones de transparencia con respecto a los subsidios. El acuerdo permite a la UE la solicitud de información acerca de determinados esquemas o mecanismos que se consideren potenciales vehículos </w:t>
      </w:r>
      <w:r w:rsidR="0039573C" w:rsidRPr="00935EF7">
        <w:rPr>
          <w:rFonts w:ascii="Poppins" w:hAnsi="Poppins" w:cs="Poppins"/>
          <w:sz w:val="20"/>
          <w:szCs w:val="20"/>
        </w:rPr>
        <w:t xml:space="preserve">de subsidios encubiertos. </w:t>
      </w:r>
    </w:p>
    <w:p w14:paraId="3DFE214F" w14:textId="75668AC6" w:rsidR="00585A87" w:rsidRPr="00F315EB" w:rsidRDefault="00F315EB" w:rsidP="00D26DE9">
      <w:pPr>
        <w:jc w:val="both"/>
        <w:rPr>
          <w:rFonts w:ascii="Poppins" w:hAnsi="Poppins" w:cs="Poppins"/>
          <w:b/>
          <w:bCs/>
          <w:sz w:val="20"/>
          <w:szCs w:val="20"/>
          <w:lang w:val="en-US"/>
        </w:rPr>
      </w:pPr>
      <w:r w:rsidRPr="00F315EB">
        <w:rPr>
          <w:rFonts w:ascii="Poppins" w:hAnsi="Poppins" w:cs="Poppins"/>
          <w:b/>
          <w:bCs/>
          <w:sz w:val="20"/>
          <w:szCs w:val="20"/>
          <w:lang w:val="en-US"/>
        </w:rPr>
        <w:t xml:space="preserve">Desarrollo sostenible </w:t>
      </w:r>
    </w:p>
    <w:p w14:paraId="2BED1F62" w14:textId="2F782E6C" w:rsidR="00585A87" w:rsidRDefault="00F315EB" w:rsidP="00D26DE9">
      <w:pPr>
        <w:pStyle w:val="Prrafodelista"/>
        <w:numPr>
          <w:ilvl w:val="0"/>
          <w:numId w:val="1"/>
        </w:numPr>
        <w:jc w:val="both"/>
        <w:rPr>
          <w:rFonts w:ascii="Poppins" w:hAnsi="Poppins" w:cs="Poppins"/>
          <w:sz w:val="20"/>
          <w:szCs w:val="20"/>
        </w:rPr>
      </w:pPr>
      <w:r w:rsidRPr="00F315EB">
        <w:rPr>
          <w:rFonts w:ascii="Poppins" w:hAnsi="Poppins" w:cs="Poppins"/>
          <w:sz w:val="20"/>
          <w:szCs w:val="20"/>
        </w:rPr>
        <w:t>Se incluye un cap</w:t>
      </w:r>
      <w:r w:rsidR="00D26DE9">
        <w:rPr>
          <w:rFonts w:ascii="Poppins" w:hAnsi="Poppins" w:cs="Poppins"/>
          <w:sz w:val="20"/>
          <w:szCs w:val="20"/>
        </w:rPr>
        <w:t>í</w:t>
      </w:r>
      <w:r w:rsidRPr="00F315EB">
        <w:rPr>
          <w:rFonts w:ascii="Poppins" w:hAnsi="Poppins" w:cs="Poppins"/>
          <w:sz w:val="20"/>
          <w:szCs w:val="20"/>
        </w:rPr>
        <w:t xml:space="preserve">tulo para evitar que se reduzca el nivel de protección </w:t>
      </w:r>
      <w:r w:rsidR="00D26DE9">
        <w:rPr>
          <w:rFonts w:ascii="Poppins" w:hAnsi="Poppins" w:cs="Poppins"/>
          <w:sz w:val="20"/>
          <w:szCs w:val="20"/>
        </w:rPr>
        <w:t xml:space="preserve">laboral y climática </w:t>
      </w:r>
      <w:r w:rsidRPr="00F315EB">
        <w:rPr>
          <w:rFonts w:ascii="Poppins" w:hAnsi="Poppins" w:cs="Poppins"/>
          <w:sz w:val="20"/>
          <w:szCs w:val="20"/>
        </w:rPr>
        <w:t>a la hora de atraer inversiones</w:t>
      </w:r>
      <w:r w:rsidR="00D26DE9">
        <w:rPr>
          <w:rFonts w:ascii="Poppins" w:hAnsi="Poppins" w:cs="Poppins"/>
          <w:sz w:val="20"/>
          <w:szCs w:val="20"/>
        </w:rPr>
        <w:t xml:space="preserve">. Así mismo, se establecen compromisos relacionados con la ratificación por parte de China de las principales convenciones de la OIT, en particular la relativa a trabajo forzoso. </w:t>
      </w:r>
    </w:p>
    <w:p w14:paraId="3099B02A" w14:textId="77777777" w:rsidR="00D26DE9" w:rsidRPr="00D26DE9" w:rsidRDefault="00D26DE9" w:rsidP="00D26DE9">
      <w:pPr>
        <w:pStyle w:val="Prrafodelista"/>
        <w:jc w:val="both"/>
        <w:rPr>
          <w:rFonts w:ascii="Poppins" w:hAnsi="Poppins" w:cs="Poppins"/>
          <w:sz w:val="20"/>
          <w:szCs w:val="20"/>
        </w:rPr>
      </w:pPr>
    </w:p>
    <w:p w14:paraId="32207AEA" w14:textId="7102EE83" w:rsidR="00DA6DFC" w:rsidRDefault="00DA6DFC" w:rsidP="00D26DE9">
      <w:pPr>
        <w:pStyle w:val="Prrafodelista"/>
        <w:numPr>
          <w:ilvl w:val="0"/>
          <w:numId w:val="2"/>
        </w:numPr>
        <w:spacing w:line="256" w:lineRule="auto"/>
        <w:ind w:left="567"/>
        <w:jc w:val="both"/>
        <w:rPr>
          <w:rFonts w:ascii="Poppins" w:hAnsi="Poppins" w:cs="Poppins"/>
          <w:b/>
          <w:bCs/>
          <w:i/>
          <w:iCs/>
          <w:sz w:val="20"/>
          <w:szCs w:val="20"/>
          <w:lang w:val="en-US"/>
        </w:rPr>
      </w:pPr>
      <w:r w:rsidRPr="00D26DE9">
        <w:rPr>
          <w:rFonts w:ascii="Poppins" w:hAnsi="Poppins" w:cs="Poppins"/>
          <w:b/>
          <w:bCs/>
          <w:i/>
          <w:iCs/>
          <w:sz w:val="20"/>
          <w:szCs w:val="20"/>
          <w:lang w:val="en-US"/>
        </w:rPr>
        <w:t xml:space="preserve">Coloquio </w:t>
      </w:r>
    </w:p>
    <w:p w14:paraId="18851758" w14:textId="68864DA5" w:rsidR="00FA7A1D" w:rsidRDefault="00FA7A1D" w:rsidP="00FA7A1D">
      <w:pPr>
        <w:spacing w:line="256" w:lineRule="auto"/>
        <w:jc w:val="both"/>
        <w:rPr>
          <w:rFonts w:ascii="Poppins" w:hAnsi="Poppins" w:cs="Poppins"/>
          <w:sz w:val="20"/>
          <w:szCs w:val="20"/>
        </w:rPr>
      </w:pPr>
      <w:r w:rsidRPr="00FA7A1D">
        <w:rPr>
          <w:rFonts w:ascii="Poppins" w:hAnsi="Poppins" w:cs="Poppins"/>
          <w:sz w:val="20"/>
          <w:szCs w:val="20"/>
        </w:rPr>
        <w:t>Del coloquio con los m</w:t>
      </w:r>
      <w:r>
        <w:rPr>
          <w:rFonts w:ascii="Poppins" w:hAnsi="Poppins" w:cs="Poppins"/>
          <w:sz w:val="20"/>
          <w:szCs w:val="20"/>
        </w:rPr>
        <w:t xml:space="preserve">iembros de BusinssEurope, se destacan los siguientes puntos: </w:t>
      </w:r>
    </w:p>
    <w:p w14:paraId="035D988C" w14:textId="0C92E991" w:rsidR="00FA7A1D" w:rsidRDefault="00F2617F" w:rsidP="00FA7A1D">
      <w:pPr>
        <w:pStyle w:val="Prrafodelista"/>
        <w:numPr>
          <w:ilvl w:val="0"/>
          <w:numId w:val="1"/>
        </w:numPr>
        <w:spacing w:line="256" w:lineRule="auto"/>
        <w:jc w:val="both"/>
        <w:rPr>
          <w:rFonts w:ascii="Poppins" w:hAnsi="Poppins" w:cs="Poppins"/>
          <w:sz w:val="20"/>
          <w:szCs w:val="20"/>
        </w:rPr>
      </w:pPr>
      <w:r>
        <w:rPr>
          <w:rFonts w:ascii="Poppins" w:hAnsi="Poppins" w:cs="Poppins"/>
          <w:sz w:val="20"/>
          <w:szCs w:val="20"/>
        </w:rPr>
        <w:t xml:space="preserve">El debate político sobre el Acuerdo de Inversión va a ser muy complejo e intenso. Se necesita el apoyo del sector empresarial para ensalzar los beneficios del acuerdo. </w:t>
      </w:r>
    </w:p>
    <w:p w14:paraId="7B170463" w14:textId="4E5B4D8A" w:rsidR="00F2617F" w:rsidRPr="00FA7A1D" w:rsidRDefault="00F2617F" w:rsidP="00FA7A1D">
      <w:pPr>
        <w:pStyle w:val="Prrafodelista"/>
        <w:numPr>
          <w:ilvl w:val="0"/>
          <w:numId w:val="1"/>
        </w:numPr>
        <w:spacing w:line="256" w:lineRule="auto"/>
        <w:jc w:val="both"/>
        <w:rPr>
          <w:rFonts w:ascii="Poppins" w:hAnsi="Poppins" w:cs="Poppins"/>
          <w:sz w:val="20"/>
          <w:szCs w:val="20"/>
        </w:rPr>
      </w:pPr>
      <w:r>
        <w:rPr>
          <w:rFonts w:ascii="Poppins" w:hAnsi="Poppins" w:cs="Poppins"/>
          <w:sz w:val="20"/>
          <w:szCs w:val="20"/>
        </w:rPr>
        <w:t xml:space="preserve">Con el Acuerdo de Inversiones se pone de manifiesto cómo China ha comprendido que no puede dar por sentado la apertura del mercado europeo y que para continuar con las relaciones debe comprometerse. </w:t>
      </w:r>
    </w:p>
    <w:p w14:paraId="0B3974BF" w14:textId="080512F9" w:rsidR="00200A6C" w:rsidRDefault="00DE40AE" w:rsidP="00F2617F">
      <w:pPr>
        <w:jc w:val="center"/>
        <w:rPr>
          <w:rFonts w:ascii="Poppins" w:hAnsi="Poppins" w:cs="Poppins"/>
          <w:sz w:val="20"/>
          <w:szCs w:val="20"/>
        </w:rPr>
      </w:pPr>
      <w:r w:rsidRPr="00B46E05">
        <w:rPr>
          <w:rFonts w:ascii="Poppins" w:hAnsi="Poppins" w:cs="Poppins"/>
          <w:sz w:val="20"/>
          <w:szCs w:val="20"/>
        </w:rPr>
        <w:t>*********</w:t>
      </w:r>
    </w:p>
    <w:p w14:paraId="45B59E31" w14:textId="1B68151A" w:rsidR="001E4E75" w:rsidRPr="001E4E75" w:rsidRDefault="001E4E75" w:rsidP="001E4E75">
      <w:pPr>
        <w:jc w:val="right"/>
        <w:rPr>
          <w:rFonts w:ascii="Poppins" w:hAnsi="Poppins" w:cs="Poppins"/>
          <w:i/>
          <w:iCs/>
          <w:sz w:val="20"/>
          <w:szCs w:val="20"/>
        </w:rPr>
      </w:pPr>
      <w:r w:rsidRPr="001E4E75">
        <w:rPr>
          <w:rFonts w:ascii="Poppins" w:hAnsi="Poppins" w:cs="Poppins"/>
          <w:i/>
          <w:iCs/>
          <w:sz w:val="20"/>
          <w:szCs w:val="20"/>
        </w:rPr>
        <w:t>21 de enero de 2020</w:t>
      </w:r>
    </w:p>
    <w:sectPr w:rsidR="001E4E75" w:rsidRPr="001E4E7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2DD0" w14:textId="77777777" w:rsidR="00AA1F0A" w:rsidRDefault="00AA1F0A" w:rsidP="00B46E05">
      <w:pPr>
        <w:spacing w:after="0" w:line="240" w:lineRule="auto"/>
      </w:pPr>
      <w:r>
        <w:separator/>
      </w:r>
    </w:p>
  </w:endnote>
  <w:endnote w:type="continuationSeparator" w:id="0">
    <w:p w14:paraId="5A6E5140" w14:textId="77777777" w:rsidR="00AA1F0A" w:rsidRDefault="00AA1F0A" w:rsidP="00B4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877B2" w14:textId="77777777" w:rsidR="00AA1F0A" w:rsidRDefault="00AA1F0A" w:rsidP="00B46E05">
      <w:pPr>
        <w:spacing w:after="0" w:line="240" w:lineRule="auto"/>
      </w:pPr>
      <w:r>
        <w:separator/>
      </w:r>
    </w:p>
  </w:footnote>
  <w:footnote w:type="continuationSeparator" w:id="0">
    <w:p w14:paraId="094FD376" w14:textId="77777777" w:rsidR="00AA1F0A" w:rsidRDefault="00AA1F0A" w:rsidP="00B46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39EB" w14:textId="4389A2C1" w:rsidR="00B46E05" w:rsidRDefault="00B46E05">
    <w:pPr>
      <w:pStyle w:val="Encabezado"/>
    </w:pPr>
    <w:r>
      <w:rPr>
        <w:noProof/>
      </w:rPr>
      <w:drawing>
        <wp:anchor distT="0" distB="0" distL="114300" distR="114300" simplePos="0" relativeHeight="251657216" behindDoc="0" locked="0" layoutInCell="1" allowOverlap="1" wp14:anchorId="090A01B1" wp14:editId="4D311FD5">
          <wp:simplePos x="0" y="0"/>
          <wp:positionH relativeFrom="column">
            <wp:posOffset>-901700</wp:posOffset>
          </wp:positionH>
          <wp:positionV relativeFrom="paragraph">
            <wp:posOffset>-273685</wp:posOffset>
          </wp:positionV>
          <wp:extent cx="1905000" cy="558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7333" b="33333"/>
                  <a:stretch/>
                </pic:blipFill>
                <pic:spPr bwMode="auto">
                  <a:xfrm>
                    <a:off x="0" y="0"/>
                    <a:ext cx="1905000" cy="558800"/>
                  </a:xfrm>
                  <a:prstGeom prst="rect">
                    <a:avLst/>
                  </a:prstGeom>
                  <a:noFill/>
                  <a:ln>
                    <a:noFill/>
                  </a:ln>
                  <a:extLst>
                    <a:ext uri="{53640926-AAD7-44D8-BBD7-CCE9431645EC}">
                      <a14:shadowObscured xmlns:a14="http://schemas.microsoft.com/office/drawing/2010/main"/>
                    </a:ext>
                  </a:extLst>
                </pic:spPr>
              </pic:pic>
            </a:graphicData>
          </a:graphic>
        </wp:anchor>
      </w:drawing>
    </w:r>
    <w:r w:rsidR="001E4E75">
      <w:rPr>
        <w:noProof/>
      </w:rPr>
      <w:pict w14:anchorId="33341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878173" o:spid="_x0000_s2049" type="#_x0000_t75" style="position:absolute;margin-left:448.95pt;margin-top:-71.3pt;width:63.45pt;height:856.95pt;z-index:-251658240;mso-position-horizontal-relative:margin;mso-position-vertical-relative:margin" o:allowincell="f">
          <v:imagedata r:id="rId2" o:title="Informe Internacional" croptop="152f" cropleft="58326f" cropright="41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403B0"/>
    <w:multiLevelType w:val="hybridMultilevel"/>
    <w:tmpl w:val="4910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6F3D90"/>
    <w:multiLevelType w:val="hybridMultilevel"/>
    <w:tmpl w:val="58AAD4AC"/>
    <w:lvl w:ilvl="0" w:tplc="851E448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D2D0C67"/>
    <w:multiLevelType w:val="hybridMultilevel"/>
    <w:tmpl w:val="71623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543524"/>
    <w:multiLevelType w:val="hybridMultilevel"/>
    <w:tmpl w:val="B5EA7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59"/>
    <w:rsid w:val="0004379D"/>
    <w:rsid w:val="001A281E"/>
    <w:rsid w:val="001E4E75"/>
    <w:rsid w:val="00200A6C"/>
    <w:rsid w:val="0039573C"/>
    <w:rsid w:val="003C3846"/>
    <w:rsid w:val="00505E4C"/>
    <w:rsid w:val="00585A87"/>
    <w:rsid w:val="005B343E"/>
    <w:rsid w:val="00601B59"/>
    <w:rsid w:val="006703F5"/>
    <w:rsid w:val="006F364C"/>
    <w:rsid w:val="00871CB4"/>
    <w:rsid w:val="0087226B"/>
    <w:rsid w:val="008931BD"/>
    <w:rsid w:val="009166E6"/>
    <w:rsid w:val="00935EF7"/>
    <w:rsid w:val="009A650E"/>
    <w:rsid w:val="00A439C3"/>
    <w:rsid w:val="00AA1F0A"/>
    <w:rsid w:val="00B46E05"/>
    <w:rsid w:val="00B728AB"/>
    <w:rsid w:val="00C55630"/>
    <w:rsid w:val="00D26DE9"/>
    <w:rsid w:val="00DA6DFC"/>
    <w:rsid w:val="00DE40AE"/>
    <w:rsid w:val="00F2617F"/>
    <w:rsid w:val="00F315EB"/>
    <w:rsid w:val="00F326B2"/>
    <w:rsid w:val="00F93A30"/>
    <w:rsid w:val="00FA7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B1D5E3"/>
  <w15:chartTrackingRefBased/>
  <w15:docId w15:val="{EFDA0F6E-47B7-42F7-B372-F6F92FD4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E4C"/>
    <w:pPr>
      <w:ind w:left="720"/>
      <w:contextualSpacing/>
    </w:pPr>
  </w:style>
  <w:style w:type="paragraph" w:styleId="Encabezado">
    <w:name w:val="header"/>
    <w:basedOn w:val="Normal"/>
    <w:link w:val="EncabezadoCar"/>
    <w:uiPriority w:val="99"/>
    <w:unhideWhenUsed/>
    <w:rsid w:val="00B46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6E05"/>
  </w:style>
  <w:style w:type="paragraph" w:styleId="Piedepgina">
    <w:name w:val="footer"/>
    <w:basedOn w:val="Normal"/>
    <w:link w:val="PiedepginaCar"/>
    <w:uiPriority w:val="99"/>
    <w:unhideWhenUsed/>
    <w:rsid w:val="00B46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9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3779</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CEOE</dc:creator>
  <cp:keywords/>
  <dc:description/>
  <cp:lastModifiedBy>CEOE</cp:lastModifiedBy>
  <cp:revision>2</cp:revision>
  <dcterms:created xsi:type="dcterms:W3CDTF">2021-01-21T16:33:00Z</dcterms:created>
  <dcterms:modified xsi:type="dcterms:W3CDTF">2021-01-21T16:33:00Z</dcterms:modified>
</cp:coreProperties>
</file>